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10" w:rsidRPr="00B7535A" w:rsidRDefault="00B7535A" w:rsidP="003C2B10">
      <w:pPr>
        <w:jc w:val="center"/>
        <w:rPr>
          <w:b/>
          <w:sz w:val="32"/>
          <w:szCs w:val="32"/>
          <w:lang w:val="en-ID"/>
        </w:rPr>
      </w:pPr>
      <w:r>
        <w:rPr>
          <w:b/>
          <w:sz w:val="32"/>
          <w:szCs w:val="32"/>
          <w:lang w:val="en-ID"/>
        </w:rPr>
        <w:t xml:space="preserve">A Supply Chain Risk Management for </w:t>
      </w:r>
      <w:proofErr w:type="spellStart"/>
      <w:r>
        <w:rPr>
          <w:b/>
          <w:sz w:val="32"/>
          <w:szCs w:val="32"/>
          <w:lang w:val="en-ID"/>
        </w:rPr>
        <w:t>Dadih</w:t>
      </w:r>
      <w:proofErr w:type="spellEnd"/>
      <w:r>
        <w:rPr>
          <w:b/>
          <w:sz w:val="32"/>
          <w:szCs w:val="32"/>
          <w:lang w:val="en-ID"/>
        </w:rPr>
        <w:t xml:space="preserve"> Product by Pricing Optimization</w:t>
      </w:r>
    </w:p>
    <w:p w:rsidR="003C2B10" w:rsidRPr="0079039F" w:rsidRDefault="003C2B10" w:rsidP="003C2B10">
      <w:pPr>
        <w:jc w:val="center"/>
        <w:rPr>
          <w:lang w:val="id-ID"/>
        </w:rPr>
      </w:pPr>
    </w:p>
    <w:p w:rsidR="003C2B10" w:rsidRPr="00A46764" w:rsidRDefault="00B7535A" w:rsidP="00595E89">
      <w:pPr>
        <w:jc w:val="center"/>
        <w:rPr>
          <w:rFonts w:eastAsia="DFKai-SB"/>
          <w:b/>
          <w:sz w:val="22"/>
          <w:szCs w:val="22"/>
          <w:vertAlign w:val="superscript"/>
          <w:lang w:val="en-ID"/>
        </w:rPr>
      </w:pPr>
      <w:proofErr w:type="spellStart"/>
      <w:r>
        <w:rPr>
          <w:rFonts w:eastAsia="DFKai-SB"/>
          <w:b/>
          <w:sz w:val="22"/>
          <w:szCs w:val="22"/>
        </w:rPr>
        <w:t>Delfitriani</w:t>
      </w:r>
      <w:proofErr w:type="spellEnd"/>
      <w:r w:rsidR="003C2B10" w:rsidRPr="00E12325">
        <w:rPr>
          <w:rFonts w:eastAsia="DFKai-SB"/>
          <w:b/>
          <w:sz w:val="22"/>
          <w:szCs w:val="22"/>
          <w:vertAlign w:val="superscript"/>
          <w:lang w:val="id-ID"/>
        </w:rPr>
        <w:t>1</w:t>
      </w:r>
      <w:r w:rsidR="00A46764">
        <w:rPr>
          <w:rFonts w:eastAsia="DFKai-SB"/>
          <w:b/>
          <w:sz w:val="22"/>
          <w:szCs w:val="22"/>
          <w:lang w:val="id-ID"/>
        </w:rPr>
        <w:t>,</w:t>
      </w:r>
      <w:r w:rsidR="00914E17">
        <w:rPr>
          <w:rFonts w:eastAsia="DFKai-SB"/>
          <w:b/>
          <w:sz w:val="22"/>
          <w:szCs w:val="22"/>
          <w:lang w:val="id-ID"/>
        </w:rPr>
        <w:t xml:space="preserve"> Taufik Djatna</w:t>
      </w:r>
      <w:r w:rsidR="005427ED">
        <w:rPr>
          <w:rFonts w:eastAsia="DFKai-SB"/>
          <w:b/>
          <w:sz w:val="22"/>
          <w:szCs w:val="22"/>
          <w:vertAlign w:val="superscript"/>
          <w:lang w:val="id-ID"/>
        </w:rPr>
        <w:t>2</w:t>
      </w:r>
      <w:r w:rsidR="00A46764">
        <w:rPr>
          <w:rFonts w:eastAsia="DFKai-SB"/>
          <w:b/>
          <w:sz w:val="22"/>
          <w:szCs w:val="22"/>
          <w:lang w:val="id-ID"/>
        </w:rPr>
        <w:t xml:space="preserve"> Ma’ruf Pambudi Nurwantara</w:t>
      </w:r>
      <w:r w:rsidR="005427ED">
        <w:rPr>
          <w:rFonts w:eastAsia="DFKai-SB"/>
          <w:b/>
          <w:sz w:val="22"/>
          <w:szCs w:val="22"/>
          <w:vertAlign w:val="superscript"/>
          <w:lang w:val="id-ID"/>
        </w:rPr>
        <w:t>3</w:t>
      </w:r>
    </w:p>
    <w:p w:rsidR="003C2B10" w:rsidRPr="00F00C2E" w:rsidRDefault="003C2B10" w:rsidP="003C2B10">
      <w:pPr>
        <w:pBdr>
          <w:bottom w:val="single" w:sz="6" w:space="1" w:color="auto"/>
        </w:pBdr>
        <w:jc w:val="center"/>
        <w:rPr>
          <w:lang w:val="it-IT"/>
        </w:rPr>
      </w:pPr>
    </w:p>
    <w:p w:rsidR="00370E5B" w:rsidRDefault="00370E5B" w:rsidP="003C2B10">
      <w:pPr>
        <w:jc w:val="center"/>
        <w:rPr>
          <w:b/>
          <w:bCs/>
          <w:iCs/>
          <w:color w:val="000000"/>
          <w:lang w:val="id-ID"/>
        </w:rPr>
      </w:pPr>
      <w:bookmarkStart w:id="0" w:name="Abstract"/>
    </w:p>
    <w:p w:rsidR="003C2B10" w:rsidRPr="00786515" w:rsidRDefault="003C2B10" w:rsidP="003C2B10">
      <w:pPr>
        <w:jc w:val="center"/>
        <w:rPr>
          <w:i/>
          <w:lang w:val="id-ID"/>
        </w:rPr>
      </w:pPr>
      <w:r w:rsidRPr="00F00C2E">
        <w:rPr>
          <w:b/>
          <w:bCs/>
          <w:i/>
          <w:iCs/>
          <w:color w:val="000000"/>
          <w:lang w:val="it-IT"/>
        </w:rPr>
        <w:t>Abstract</w:t>
      </w:r>
      <w:bookmarkEnd w:id="0"/>
      <w:r w:rsidRPr="00786515">
        <w:rPr>
          <w:i/>
          <w:lang w:val="id-ID"/>
        </w:rPr>
        <w:t xml:space="preserve"> </w:t>
      </w:r>
    </w:p>
    <w:p w:rsidR="003C2B10" w:rsidRPr="0079039F" w:rsidRDefault="003C2B10" w:rsidP="003C2B10">
      <w:pPr>
        <w:jc w:val="center"/>
        <w:rPr>
          <w:lang w:val="id-ID"/>
        </w:rPr>
      </w:pPr>
    </w:p>
    <w:p w:rsidR="003C2B10" w:rsidRPr="0079039F" w:rsidRDefault="00B7535A" w:rsidP="00786515">
      <w:pPr>
        <w:jc w:val="both"/>
        <w:rPr>
          <w:i/>
          <w:lang w:val="id-ID"/>
        </w:rPr>
      </w:pPr>
      <w:r w:rsidRPr="00A275DF">
        <w:rPr>
          <w:i/>
        </w:rPr>
        <w:t xml:space="preserve">Risk mitigation by using risk sharing approach is a method to minimize risk on supply chain management.  In this case, the pricing optimization is needed to maximize and to balance the profit of each stakeholder on its sphere. This paper focused on </w:t>
      </w:r>
      <w:r w:rsidRPr="00A275DF">
        <w:rPr>
          <w:i/>
          <w:lang w:val="id-ID"/>
        </w:rPr>
        <w:t>Dadih</w:t>
      </w:r>
      <w:r w:rsidRPr="00A275DF">
        <w:rPr>
          <w:i/>
        </w:rPr>
        <w:t xml:space="preserve"> product supply chain risk modelling which has three </w:t>
      </w:r>
      <w:r w:rsidR="002E6D2F">
        <w:rPr>
          <w:i/>
        </w:rPr>
        <w:t xml:space="preserve">objectives: (1) to identify, </w:t>
      </w:r>
      <w:r w:rsidRPr="00A275DF">
        <w:rPr>
          <w:i/>
        </w:rPr>
        <w:t xml:space="preserve">(2) to evaluate the risk of each sphere along </w:t>
      </w:r>
      <w:r w:rsidRPr="00A275DF">
        <w:rPr>
          <w:i/>
          <w:lang w:val="id-ID"/>
        </w:rPr>
        <w:t>Dadih</w:t>
      </w:r>
      <w:r w:rsidR="002E6D2F">
        <w:rPr>
          <w:i/>
        </w:rPr>
        <w:t xml:space="preserve"> product supply chain,</w:t>
      </w:r>
      <w:r w:rsidRPr="00A275DF">
        <w:rPr>
          <w:i/>
        </w:rPr>
        <w:t xml:space="preserve"> and (3) to build a supply chain risk management model for </w:t>
      </w:r>
      <w:r w:rsidRPr="00A275DF">
        <w:rPr>
          <w:i/>
          <w:lang w:val="id-ID"/>
        </w:rPr>
        <w:t>Dadih</w:t>
      </w:r>
      <w:r w:rsidRPr="00A275DF">
        <w:rPr>
          <w:i/>
        </w:rPr>
        <w:t xml:space="preserve"> product by pricing optimization. The model is started by risk identification which showed that there were 52 risks along the whole chain. Then these risks were evaluated by using risk index measurement which showed that the </w:t>
      </w:r>
      <w:r w:rsidRPr="00A275DF">
        <w:rPr>
          <w:i/>
          <w:lang w:val="id-ID"/>
        </w:rPr>
        <w:t xml:space="preserve">dairy farmer </w:t>
      </w:r>
      <w:r w:rsidRPr="00A275DF">
        <w:rPr>
          <w:i/>
        </w:rPr>
        <w:t>sphere has the highest risk proportion on the whole chain. Finally, the optimum prices were obtained by using risk sharing model which is generated from the result of risk evaluation and the result of stakeholder efficiency measurement by using DEA method. We also found that the prices fluctuation among the DMU became smoothly after the optimization which occurred as a result of risk distribution along the chain.</w:t>
      </w:r>
    </w:p>
    <w:p w:rsidR="003C2B10" w:rsidRPr="0079039F" w:rsidRDefault="003C2B10" w:rsidP="00786515">
      <w:pPr>
        <w:jc w:val="both"/>
        <w:rPr>
          <w:lang w:val="id-ID"/>
        </w:rPr>
      </w:pPr>
    </w:p>
    <w:p w:rsidR="001D4D3C" w:rsidRDefault="003C2B10" w:rsidP="00786515">
      <w:pPr>
        <w:jc w:val="both"/>
        <w:rPr>
          <w:lang w:val="en-ID"/>
        </w:rPr>
      </w:pPr>
      <w:r w:rsidRPr="0079039F">
        <w:rPr>
          <w:i/>
          <w:lang w:val="id-ID"/>
        </w:rPr>
        <w:t xml:space="preserve">Keywords: </w:t>
      </w:r>
      <w:r w:rsidR="00B7535A" w:rsidRPr="00D87F70">
        <w:rPr>
          <w:rFonts w:eastAsia="MS Mincho"/>
          <w:i/>
          <w:lang w:val="id-ID"/>
        </w:rPr>
        <w:t>Dadih produk</w:t>
      </w:r>
      <w:r w:rsidR="00B7535A" w:rsidRPr="00D87F70">
        <w:rPr>
          <w:rFonts w:eastAsia="MS Mincho"/>
          <w:i/>
        </w:rPr>
        <w:t>; DEA; pricing optimization; risk sharing model; supply chain risk management</w:t>
      </w:r>
      <w:r w:rsidR="00D87F70">
        <w:rPr>
          <w:rFonts w:eastAsia="MS Mincho"/>
          <w:i/>
        </w:rPr>
        <w:t xml:space="preserve"> </w:t>
      </w:r>
    </w:p>
    <w:p w:rsidR="00F7046F" w:rsidRPr="00F7046F" w:rsidRDefault="00F7046F" w:rsidP="00786515">
      <w:pPr>
        <w:jc w:val="both"/>
        <w:rPr>
          <w:lang w:val="en-ID"/>
        </w:rPr>
      </w:pPr>
    </w:p>
    <w:p w:rsidR="003C2B10" w:rsidRDefault="001D4D3C" w:rsidP="001D4D3C">
      <w:pPr>
        <w:pBdr>
          <w:top w:val="single" w:sz="4" w:space="1" w:color="auto"/>
        </w:pBdr>
        <w:tabs>
          <w:tab w:val="left" w:pos="5530"/>
        </w:tabs>
        <w:spacing w:after="120"/>
        <w:rPr>
          <w:bCs/>
          <w:lang w:val="en-ID"/>
        </w:rPr>
      </w:pPr>
      <w:r>
        <w:rPr>
          <w:bCs/>
          <w:lang w:val="en-ID"/>
        </w:rPr>
        <w:t>Author Correspondence:</w:t>
      </w:r>
    </w:p>
    <w:p w:rsidR="001D4D3C" w:rsidRPr="001D4D3C" w:rsidRDefault="001D4D3C" w:rsidP="001D4D3C">
      <w:pPr>
        <w:tabs>
          <w:tab w:val="left" w:pos="5530"/>
        </w:tabs>
        <w:rPr>
          <w:bCs/>
          <w:lang w:val="en-ID"/>
        </w:rPr>
      </w:pPr>
      <w:r>
        <w:rPr>
          <w:bCs/>
          <w:lang w:val="en-ID"/>
        </w:rPr>
        <w:t>First Author,</w:t>
      </w:r>
    </w:p>
    <w:p w:rsidR="00354F4B" w:rsidRPr="007F0806" w:rsidRDefault="00354F4B" w:rsidP="00354F4B">
      <w:pPr>
        <w:spacing w:line="201" w:lineRule="auto"/>
      </w:pPr>
      <w:r w:rsidRPr="007F0806">
        <w:rPr>
          <w:vertAlign w:val="superscript"/>
        </w:rPr>
        <w:t>1</w:t>
      </w:r>
      <w:r w:rsidRPr="007F0806">
        <w:t>Agroindustrial Technology Program Graduate School of Bogor Agricultural University,</w:t>
      </w:r>
      <w:r w:rsidR="00F85FE3">
        <w:rPr>
          <w:lang w:val="id-ID"/>
        </w:rPr>
        <w:t xml:space="preserve"> </w:t>
      </w:r>
      <w:r w:rsidRPr="007F0806">
        <w:t>Bogor,</w:t>
      </w:r>
      <w:r w:rsidR="00F85FE3">
        <w:rPr>
          <w:lang w:val="id-ID"/>
        </w:rPr>
        <w:t xml:space="preserve"> </w:t>
      </w:r>
      <w:r w:rsidRPr="007F0806">
        <w:t>Indonesia</w:t>
      </w:r>
    </w:p>
    <w:p w:rsidR="001D4D3C" w:rsidRDefault="00A62626" w:rsidP="00F7046F">
      <w:pPr>
        <w:pBdr>
          <w:bottom w:val="single" w:sz="4" w:space="1" w:color="auto"/>
        </w:pBdr>
        <w:tabs>
          <w:tab w:val="left" w:pos="5530"/>
        </w:tabs>
        <w:rPr>
          <w:bCs/>
          <w:lang w:val="id-ID"/>
        </w:rPr>
      </w:pPr>
      <w:r>
        <w:rPr>
          <w:rFonts w:eastAsia="DFKai-SB"/>
        </w:rPr>
        <w:t>Phone: (081290023413</w:t>
      </w:r>
      <w:r w:rsidR="00F7046F">
        <w:rPr>
          <w:rFonts w:eastAsia="DFKai-SB"/>
        </w:rPr>
        <w:t xml:space="preserve">) </w:t>
      </w:r>
      <w:r w:rsidR="001D4D3C" w:rsidRPr="0079039F">
        <w:rPr>
          <w:rFonts w:eastAsia="DFKai-SB"/>
        </w:rPr>
        <w:t xml:space="preserve">E-mail: </w:t>
      </w:r>
      <w:r>
        <w:rPr>
          <w:rFonts w:eastAsia="DFKai-SB"/>
          <w:lang w:val="id-ID"/>
        </w:rPr>
        <w:t>delfitri70@gmail.com</w:t>
      </w:r>
      <w:r w:rsidR="001D4D3C">
        <w:rPr>
          <w:rFonts w:eastAsia="DFKai-SB"/>
          <w:lang w:val="en-ID"/>
        </w:rPr>
        <w:t>.</w:t>
      </w:r>
    </w:p>
    <w:p w:rsidR="00F7046F" w:rsidRDefault="00F7046F" w:rsidP="00F7046F">
      <w:pPr>
        <w:pBdr>
          <w:top w:val="single" w:sz="4" w:space="1" w:color="auto"/>
        </w:pBdr>
        <w:rPr>
          <w:rFonts w:eastAsia="DFKai-SB"/>
          <w:vertAlign w:val="superscript"/>
          <w:lang w:val="id-ID"/>
        </w:rPr>
      </w:pPr>
    </w:p>
    <w:p w:rsidR="00F7046F" w:rsidRPr="00E12325" w:rsidRDefault="00F7046F" w:rsidP="00F7046F">
      <w:pPr>
        <w:ind w:left="284" w:hanging="284"/>
        <w:jc w:val="center"/>
        <w:rPr>
          <w:b/>
          <w:bCs/>
          <w:sz w:val="22"/>
          <w:szCs w:val="22"/>
          <w:lang w:val="id-ID"/>
        </w:rPr>
      </w:pPr>
      <w:r w:rsidRPr="00E12325">
        <w:rPr>
          <w:b/>
          <w:bCs/>
          <w:sz w:val="22"/>
          <w:szCs w:val="22"/>
        </w:rPr>
        <w:t xml:space="preserve">1. </w:t>
      </w:r>
      <w:r w:rsidRPr="00E12325">
        <w:rPr>
          <w:b/>
          <w:bCs/>
          <w:sz w:val="22"/>
          <w:szCs w:val="22"/>
        </w:rPr>
        <w:tab/>
      </w:r>
      <w:bookmarkStart w:id="1" w:name="Introduction"/>
      <w:r w:rsidRPr="00E12325">
        <w:rPr>
          <w:b/>
          <w:bCs/>
          <w:sz w:val="22"/>
          <w:szCs w:val="22"/>
          <w:lang w:val="id-ID"/>
        </w:rPr>
        <w:t>Introduction</w:t>
      </w:r>
      <w:bookmarkEnd w:id="1"/>
    </w:p>
    <w:p w:rsidR="00F7046F" w:rsidRPr="00E12325" w:rsidRDefault="00F7046F" w:rsidP="00F7046F">
      <w:pPr>
        <w:ind w:left="284" w:hanging="284"/>
        <w:jc w:val="center"/>
        <w:rPr>
          <w:b/>
          <w:bCs/>
          <w:sz w:val="22"/>
          <w:szCs w:val="22"/>
          <w:lang w:val="id-ID"/>
        </w:rPr>
      </w:pPr>
    </w:p>
    <w:p w:rsidR="00330F20" w:rsidRDefault="00F7046F" w:rsidP="00260D2C">
      <w:pPr>
        <w:spacing w:line="276" w:lineRule="auto"/>
        <w:jc w:val="both"/>
        <w:rPr>
          <w:sz w:val="22"/>
          <w:szCs w:val="22"/>
          <w:lang w:val="id-ID"/>
        </w:rPr>
      </w:pPr>
      <w:r w:rsidRPr="00E12325">
        <w:rPr>
          <w:sz w:val="22"/>
          <w:szCs w:val="22"/>
          <w:lang w:val="id-ID"/>
        </w:rPr>
        <w:tab/>
      </w:r>
      <w:r w:rsidR="001039B0" w:rsidRPr="001039B0">
        <w:rPr>
          <w:sz w:val="22"/>
          <w:szCs w:val="22"/>
          <w:lang w:val="id-ID"/>
        </w:rPr>
        <w:t>The risk is the possibility of an event that resulted in a loss when the event occurred during a specific period. Supply chain activities are inseparable from risks at every level as a result of the uncertainty of demand, supply, or internal company</w:t>
      </w:r>
      <w:r w:rsidR="006F42E7">
        <w:rPr>
          <w:sz w:val="22"/>
          <w:szCs w:val="22"/>
          <w:lang w:val="id-ID"/>
        </w:rPr>
        <w:t xml:space="preserve"> [1]</w:t>
      </w:r>
      <w:r w:rsidR="001039B0" w:rsidRPr="001039B0">
        <w:rPr>
          <w:sz w:val="22"/>
          <w:szCs w:val="22"/>
          <w:lang w:val="id-ID"/>
        </w:rPr>
        <w:t xml:space="preserve">. The risks also must be controlled to avoid the problem of material supply that affects the financial loss of the company </w:t>
      </w:r>
      <w:r w:rsidR="006F42E7">
        <w:rPr>
          <w:sz w:val="22"/>
          <w:szCs w:val="22"/>
          <w:lang w:val="id-ID"/>
        </w:rPr>
        <w:t>[2]</w:t>
      </w:r>
      <w:r w:rsidR="001039B0" w:rsidRPr="001039B0">
        <w:rPr>
          <w:sz w:val="22"/>
          <w:szCs w:val="22"/>
          <w:lang w:val="id-ID"/>
        </w:rPr>
        <w:t xml:space="preserve">. These can be managed by identifying, measuring, and managing those risks </w:t>
      </w:r>
      <w:r w:rsidR="006F42E7">
        <w:rPr>
          <w:sz w:val="22"/>
          <w:szCs w:val="22"/>
          <w:lang w:val="id-ID"/>
        </w:rPr>
        <w:t>[3].</w:t>
      </w:r>
    </w:p>
    <w:p w:rsidR="00330F20" w:rsidRPr="00BB3D3B" w:rsidRDefault="00E907F7" w:rsidP="00260D2C">
      <w:pPr>
        <w:spacing w:line="276" w:lineRule="auto"/>
        <w:ind w:firstLine="340"/>
        <w:jc w:val="both"/>
        <w:rPr>
          <w:sz w:val="22"/>
          <w:szCs w:val="22"/>
          <w:lang w:val="id-ID"/>
        </w:rPr>
      </w:pPr>
      <w:r w:rsidRPr="00E907F7">
        <w:rPr>
          <w:sz w:val="22"/>
          <w:szCs w:val="22"/>
          <w:lang w:val="id-ID"/>
        </w:rPr>
        <w:t xml:space="preserve">In this paper focus on the risk management of supply chain of the dadih product. Dadih is typical Indonesian traditional fermented milk which is produced and consumed by West Sumatran Minangkabau ethnic group. Dadih is also indicated as one of the essential traditional foods of Minangkabau culture </w:t>
      </w:r>
      <w:r w:rsidR="006F42E7">
        <w:rPr>
          <w:sz w:val="22"/>
          <w:szCs w:val="22"/>
          <w:lang w:val="id-ID"/>
        </w:rPr>
        <w:t>[4]</w:t>
      </w:r>
      <w:r w:rsidRPr="00E907F7">
        <w:rPr>
          <w:sz w:val="22"/>
          <w:szCs w:val="22"/>
          <w:lang w:val="id-ID"/>
        </w:rPr>
        <w:t xml:space="preserve">. The development of buffalo cattle population as the primary raw material of dadih production which decreased in quantity and geographic impact on the decrease of the dadih production in West Sumatra. For instance, in 2015, the West Sumatera buffalo population was 121939 heads, while the population in 2009, 202.997 heads </w:t>
      </w:r>
      <w:r w:rsidR="006F42E7">
        <w:rPr>
          <w:sz w:val="22"/>
          <w:szCs w:val="22"/>
          <w:lang w:val="id-ID"/>
        </w:rPr>
        <w:t>[5]</w:t>
      </w:r>
      <w:r w:rsidRPr="00E907F7">
        <w:rPr>
          <w:sz w:val="22"/>
          <w:szCs w:val="22"/>
          <w:lang w:val="id-ID"/>
        </w:rPr>
        <w:t xml:space="preserve">. The production capacity of the buffalo milk business is relatively low, 1,5 – 2,5; liters per a day. It had no economic value if compared with cow dairy production reaching 20 liters per day </w:t>
      </w:r>
      <w:r w:rsidR="006F42E7">
        <w:rPr>
          <w:sz w:val="22"/>
          <w:szCs w:val="22"/>
          <w:lang w:val="id-ID"/>
        </w:rPr>
        <w:t>[6]</w:t>
      </w:r>
      <w:r>
        <w:rPr>
          <w:sz w:val="22"/>
          <w:szCs w:val="22"/>
          <w:lang w:val="id-ID"/>
        </w:rPr>
        <w:t>. The</w:t>
      </w:r>
      <w:r w:rsidRPr="00E907F7">
        <w:rPr>
          <w:sz w:val="22"/>
          <w:szCs w:val="22"/>
          <w:lang w:val="id-ID"/>
        </w:rPr>
        <w:t xml:space="preserve"> condition threatens the existence of the dadih as a product of geographical indication. One effort in ensuring its existence is by replacing the primary raw material into cow’s milk. Consequently, the dadih processing would have to be modified by the addition of probiotic starter to produce cow's milk dadih with similar characteristics to buffalo milk dadih </w:t>
      </w:r>
      <w:r w:rsidR="006F42E7">
        <w:rPr>
          <w:sz w:val="22"/>
          <w:szCs w:val="22"/>
          <w:lang w:val="id-ID"/>
        </w:rPr>
        <w:t>[7]</w:t>
      </w:r>
      <w:r w:rsidRPr="00E907F7">
        <w:rPr>
          <w:sz w:val="22"/>
          <w:szCs w:val="22"/>
          <w:lang w:val="id-ID"/>
        </w:rPr>
        <w:t>.</w:t>
      </w:r>
    </w:p>
    <w:p w:rsidR="00330F20" w:rsidRPr="00330F20" w:rsidRDefault="00975D5D" w:rsidP="00260D2C">
      <w:pPr>
        <w:spacing w:line="276" w:lineRule="auto"/>
        <w:ind w:firstLine="284"/>
        <w:jc w:val="both"/>
        <w:rPr>
          <w:sz w:val="22"/>
          <w:szCs w:val="22"/>
          <w:lang w:val="id-ID"/>
        </w:rPr>
      </w:pPr>
      <w:r w:rsidRPr="00975D5D">
        <w:rPr>
          <w:sz w:val="22"/>
          <w:szCs w:val="22"/>
          <w:lang w:val="id-ID"/>
        </w:rPr>
        <w:t xml:space="preserve">Technological support and marketing management is needed to expand the market for the dadih product. Besides, the number of competing products on the market which are fermented dairy </w:t>
      </w:r>
      <w:r w:rsidRPr="00975D5D">
        <w:rPr>
          <w:sz w:val="22"/>
          <w:szCs w:val="22"/>
          <w:lang w:val="id-ID"/>
        </w:rPr>
        <w:lastRenderedPageBreak/>
        <w:t>products that have been using advanced technology to make supply chain risk management of dadih products is essential to improve the competitive advantage of the product.</w:t>
      </w:r>
      <w:r>
        <w:rPr>
          <w:sz w:val="22"/>
          <w:szCs w:val="22"/>
          <w:lang w:val="id-ID"/>
        </w:rPr>
        <w:t xml:space="preserve"> </w:t>
      </w:r>
      <w:r w:rsidR="003C6D8D" w:rsidRPr="003C6D8D">
        <w:rPr>
          <w:sz w:val="22"/>
          <w:szCs w:val="22"/>
          <w:lang w:val="id-ID"/>
        </w:rPr>
        <w:t>The supply chain of dadih product in West Sumatra consists of several networks ranging from beef suppliers, dairy farmers, dairy collectors, dadih industry, retailers, and consumers. The existence of some networks involved in the supply chain of dadih products certainly raises the risk on every supply chain network. Implementation of supply chain risk management needs to be done systematically to identify and analyze risks associated with the supply chain. The process of identifying risks in the supply chain of dadih products is used to provide information on supply chain conditions and risk evaluation along with the mitigation design of each supply chain network.</w:t>
      </w:r>
    </w:p>
    <w:p w:rsidR="00330F20" w:rsidRPr="00330F20" w:rsidRDefault="003C6D8D" w:rsidP="00260D2C">
      <w:pPr>
        <w:spacing w:line="276" w:lineRule="auto"/>
        <w:ind w:firstLine="284"/>
        <w:jc w:val="both"/>
        <w:rPr>
          <w:sz w:val="22"/>
          <w:szCs w:val="22"/>
          <w:lang w:val="id-ID"/>
        </w:rPr>
      </w:pPr>
      <w:r w:rsidRPr="003C6D8D">
        <w:rPr>
          <w:sz w:val="22"/>
          <w:szCs w:val="22"/>
          <w:lang w:val="id-ID"/>
        </w:rPr>
        <w:t>Currently, the producers of dadih cannot determine the selling price because the price was done and controlled by intermediary traders. Distribution of profit that is not balanced with the operational costs of the offender becomes the factor causing the difficulty of determining the selling price of the product. The imbalance factor of profit distribution triggers the occurrence of risk on quality and quality standard, quantity of supply and price of the dadih product. The complexity of dadih product development problems in West Sumatra is 1) lack of volume of raw material supply in upstream supply chain, 2) lack of proper coordination on every supply chain actor to solve problems along supply lines, 3) one of the supply chain of dadih products, 4) the producers of butter cannot determine the selling price, 5) the absence of proper supply chain design for dadih products in West Sumatra.</w:t>
      </w:r>
    </w:p>
    <w:p w:rsidR="00330F20" w:rsidRPr="00330F20" w:rsidRDefault="00330F20" w:rsidP="00260D2C">
      <w:pPr>
        <w:spacing w:line="276" w:lineRule="auto"/>
        <w:ind w:firstLine="284"/>
        <w:jc w:val="both"/>
        <w:rPr>
          <w:sz w:val="22"/>
          <w:szCs w:val="22"/>
          <w:lang w:val="id-ID"/>
        </w:rPr>
      </w:pPr>
      <w:r w:rsidRPr="00330F20">
        <w:rPr>
          <w:sz w:val="22"/>
          <w:szCs w:val="22"/>
          <w:lang w:val="id-ID"/>
        </w:rPr>
        <w:t xml:space="preserve">One aspect of supply chain management is value added. Improving the performance of supply chain management will have a positive impact on the added value of each supply chain element. The identification of added value in supply chain management can be implemented in the production of </w:t>
      </w:r>
      <w:r w:rsidR="00F85FE3">
        <w:rPr>
          <w:sz w:val="22"/>
          <w:szCs w:val="22"/>
          <w:lang w:val="id-ID"/>
        </w:rPr>
        <w:t>dadih</w:t>
      </w:r>
      <w:r w:rsidRPr="00330F20">
        <w:rPr>
          <w:sz w:val="22"/>
          <w:szCs w:val="22"/>
          <w:lang w:val="id-ID"/>
        </w:rPr>
        <w:t xml:space="preserve"> products to find out the added value obtained by supply chain level. </w:t>
      </w:r>
      <w:r w:rsidR="003C6D8D">
        <w:rPr>
          <w:sz w:val="22"/>
          <w:szCs w:val="22"/>
          <w:lang w:val="id-ID"/>
        </w:rPr>
        <w:t>T</w:t>
      </w:r>
      <w:r w:rsidRPr="00330F20">
        <w:rPr>
          <w:sz w:val="22"/>
          <w:szCs w:val="22"/>
          <w:lang w:val="id-ID"/>
        </w:rPr>
        <w:t xml:space="preserve">he added value of </w:t>
      </w:r>
      <w:r w:rsidR="00F85FE3">
        <w:rPr>
          <w:sz w:val="22"/>
          <w:szCs w:val="22"/>
          <w:lang w:val="id-ID"/>
        </w:rPr>
        <w:t>dadih</w:t>
      </w:r>
      <w:r w:rsidRPr="00330F20">
        <w:rPr>
          <w:sz w:val="22"/>
          <w:szCs w:val="22"/>
          <w:lang w:val="id-ID"/>
        </w:rPr>
        <w:t xml:space="preserve"> products is directly proportional to the amount of income to be received. Based on these motivations, it can be proposed supply chain risk management for risk mitigation and added value of </w:t>
      </w:r>
      <w:r w:rsidR="00F85FE3">
        <w:rPr>
          <w:sz w:val="22"/>
          <w:szCs w:val="22"/>
          <w:lang w:val="id-ID"/>
        </w:rPr>
        <w:t>dadih</w:t>
      </w:r>
      <w:r w:rsidRPr="00330F20">
        <w:rPr>
          <w:sz w:val="22"/>
          <w:szCs w:val="22"/>
          <w:lang w:val="id-ID"/>
        </w:rPr>
        <w:t xml:space="preserve"> products.</w:t>
      </w:r>
    </w:p>
    <w:p w:rsidR="00330F20" w:rsidRPr="00E12325" w:rsidRDefault="00330F20" w:rsidP="00260D2C">
      <w:pPr>
        <w:spacing w:line="276" w:lineRule="auto"/>
        <w:ind w:firstLine="284"/>
        <w:jc w:val="both"/>
        <w:rPr>
          <w:sz w:val="22"/>
          <w:szCs w:val="22"/>
          <w:lang w:val="id-ID"/>
        </w:rPr>
      </w:pPr>
      <w:r w:rsidRPr="00330F20">
        <w:rPr>
          <w:sz w:val="22"/>
          <w:szCs w:val="22"/>
          <w:lang w:val="id-ID"/>
        </w:rPr>
        <w:t xml:space="preserve">The purpose of this paper is to identify risk factors from each level of the way supply chain, to evaluate the risks at each level of the supply chain and to formulate the form of risk balancing supply chain of </w:t>
      </w:r>
      <w:r w:rsidR="00F85FE3">
        <w:rPr>
          <w:sz w:val="22"/>
          <w:szCs w:val="22"/>
          <w:lang w:val="id-ID"/>
        </w:rPr>
        <w:t>dadih</w:t>
      </w:r>
      <w:r w:rsidRPr="00330F20">
        <w:rPr>
          <w:sz w:val="22"/>
          <w:szCs w:val="22"/>
          <w:lang w:val="id-ID"/>
        </w:rPr>
        <w:t xml:space="preserve"> products with the risk distribution model approach. This paper consists of 4 parts, the introduction to part 1, the method in part 2, the discussion in Section 3, and the conclusion in Section 4.</w:t>
      </w:r>
    </w:p>
    <w:p w:rsidR="00F7046F" w:rsidRPr="00E12325" w:rsidRDefault="00F7046F" w:rsidP="00F7046F">
      <w:pPr>
        <w:ind w:left="284" w:hanging="284"/>
        <w:jc w:val="center"/>
        <w:rPr>
          <w:b/>
          <w:bCs/>
          <w:sz w:val="22"/>
          <w:szCs w:val="22"/>
          <w:lang w:val="id-ID"/>
        </w:rPr>
      </w:pPr>
      <w:r w:rsidRPr="00E12325">
        <w:rPr>
          <w:b/>
          <w:bCs/>
          <w:sz w:val="22"/>
          <w:szCs w:val="22"/>
        </w:rPr>
        <w:t xml:space="preserve">2. </w:t>
      </w:r>
      <w:r w:rsidRPr="00E12325">
        <w:rPr>
          <w:b/>
          <w:bCs/>
          <w:sz w:val="22"/>
          <w:szCs w:val="22"/>
        </w:rPr>
        <w:tab/>
      </w:r>
      <w:r w:rsidRPr="00E12325">
        <w:rPr>
          <w:b/>
          <w:bCs/>
          <w:sz w:val="22"/>
          <w:szCs w:val="22"/>
          <w:lang w:val="id-ID"/>
        </w:rPr>
        <w:t xml:space="preserve">Material and </w:t>
      </w:r>
      <w:bookmarkStart w:id="2" w:name="Methods"/>
      <w:r w:rsidRPr="00E12325">
        <w:rPr>
          <w:b/>
          <w:bCs/>
          <w:sz w:val="22"/>
          <w:szCs w:val="22"/>
          <w:lang w:val="id-ID"/>
        </w:rPr>
        <w:t>Method</w:t>
      </w:r>
      <w:r w:rsidRPr="00E12325">
        <w:rPr>
          <w:b/>
          <w:bCs/>
          <w:sz w:val="22"/>
          <w:szCs w:val="22"/>
        </w:rPr>
        <w:t>s</w:t>
      </w:r>
      <w:bookmarkEnd w:id="2"/>
    </w:p>
    <w:p w:rsidR="000366E8" w:rsidRDefault="000366E8" w:rsidP="007E2044">
      <w:pPr>
        <w:spacing w:line="276" w:lineRule="auto"/>
        <w:rPr>
          <w:sz w:val="22"/>
          <w:szCs w:val="22"/>
          <w:lang w:val="id-ID"/>
        </w:rPr>
      </w:pPr>
    </w:p>
    <w:p w:rsidR="000366E8" w:rsidRPr="00260D2C" w:rsidRDefault="000366E8" w:rsidP="00260D2C">
      <w:pPr>
        <w:pStyle w:val="ListParagraph"/>
        <w:numPr>
          <w:ilvl w:val="1"/>
          <w:numId w:val="5"/>
        </w:numPr>
        <w:tabs>
          <w:tab w:val="num" w:pos="288"/>
        </w:tabs>
        <w:ind w:left="284" w:hanging="284"/>
        <w:rPr>
          <w:b/>
          <w:bCs/>
          <w:iCs/>
          <w:sz w:val="22"/>
          <w:szCs w:val="22"/>
          <w:lang w:val="id-ID"/>
        </w:rPr>
      </w:pPr>
      <w:r w:rsidRPr="00260D2C">
        <w:rPr>
          <w:b/>
          <w:bCs/>
          <w:iCs/>
          <w:sz w:val="22"/>
          <w:szCs w:val="22"/>
          <w:lang w:val="id-ID"/>
        </w:rPr>
        <w:t xml:space="preserve">Identification of Supply Chain Risk of </w:t>
      </w:r>
      <w:r w:rsidR="00F85FE3" w:rsidRPr="00260D2C">
        <w:rPr>
          <w:b/>
          <w:bCs/>
          <w:iCs/>
          <w:sz w:val="22"/>
          <w:szCs w:val="22"/>
          <w:lang w:val="id-ID"/>
        </w:rPr>
        <w:t>Dadih</w:t>
      </w:r>
      <w:r w:rsidRPr="00260D2C">
        <w:rPr>
          <w:b/>
          <w:bCs/>
          <w:iCs/>
          <w:sz w:val="22"/>
          <w:szCs w:val="22"/>
          <w:lang w:val="id-ID"/>
        </w:rPr>
        <w:t xml:space="preserve"> Products</w:t>
      </w:r>
    </w:p>
    <w:p w:rsidR="000366E8" w:rsidRPr="000366E8" w:rsidRDefault="00986F43" w:rsidP="00260D2C">
      <w:pPr>
        <w:spacing w:line="276" w:lineRule="auto"/>
        <w:ind w:firstLine="340"/>
        <w:jc w:val="both"/>
        <w:rPr>
          <w:bCs/>
          <w:iCs/>
          <w:sz w:val="22"/>
          <w:szCs w:val="22"/>
          <w:lang w:val="id-ID"/>
        </w:rPr>
      </w:pPr>
      <w:r w:rsidRPr="00986F43">
        <w:rPr>
          <w:bCs/>
          <w:iCs/>
          <w:sz w:val="22"/>
          <w:szCs w:val="22"/>
          <w:lang w:val="id-ID"/>
        </w:rPr>
        <w:t>The identification of the dadih supply chain risk began with identifying the number of stakeholders (X</w:t>
      </w:r>
      <w:r w:rsidRPr="00986F43">
        <w:rPr>
          <w:bCs/>
          <w:iCs/>
          <w:sz w:val="22"/>
          <w:szCs w:val="22"/>
          <w:vertAlign w:val="subscript"/>
          <w:lang w:val="id-ID"/>
        </w:rPr>
        <w:t>i</w:t>
      </w:r>
      <w:r w:rsidRPr="00986F43">
        <w:rPr>
          <w:bCs/>
          <w:iCs/>
          <w:sz w:val="22"/>
          <w:szCs w:val="22"/>
          <w:lang w:val="id-ID"/>
        </w:rPr>
        <w:t>) involved in the supply chain of dadih, where (i = 1, 2, ..., n). Each network has several risks that may cause the failure of the supply product (P</w:t>
      </w:r>
      <w:r w:rsidRPr="00986F43">
        <w:rPr>
          <w:bCs/>
          <w:iCs/>
          <w:sz w:val="22"/>
          <w:szCs w:val="22"/>
          <w:vertAlign w:val="subscript"/>
          <w:lang w:val="id-ID"/>
        </w:rPr>
        <w:t>i</w:t>
      </w:r>
      <w:r w:rsidRPr="00986F43">
        <w:rPr>
          <w:bCs/>
          <w:iCs/>
          <w:sz w:val="22"/>
          <w:szCs w:val="22"/>
          <w:lang w:val="id-ID"/>
        </w:rPr>
        <w:t>X). It is a critical stage in the model. The model will be more accurate in representing the real world when the data is more detailed.</w:t>
      </w:r>
    </w:p>
    <w:p w:rsidR="00260D2C" w:rsidRDefault="00260D2C" w:rsidP="00260D2C">
      <w:pPr>
        <w:pStyle w:val="ListParagraph"/>
        <w:rPr>
          <w:b/>
          <w:sz w:val="22"/>
          <w:szCs w:val="22"/>
          <w:lang w:val="id-ID"/>
        </w:rPr>
      </w:pPr>
    </w:p>
    <w:p w:rsidR="000366E8" w:rsidRPr="00260D2C" w:rsidRDefault="00260D2C" w:rsidP="00260D2C">
      <w:pPr>
        <w:pStyle w:val="ListParagraph"/>
        <w:numPr>
          <w:ilvl w:val="1"/>
          <w:numId w:val="5"/>
        </w:numPr>
        <w:tabs>
          <w:tab w:val="num" w:pos="288"/>
        </w:tabs>
        <w:ind w:left="284" w:hanging="284"/>
        <w:rPr>
          <w:b/>
          <w:sz w:val="22"/>
          <w:szCs w:val="22"/>
          <w:lang w:val="id-ID"/>
        </w:rPr>
      </w:pPr>
      <w:r>
        <w:rPr>
          <w:b/>
          <w:sz w:val="22"/>
          <w:szCs w:val="22"/>
          <w:lang w:val="id-ID"/>
        </w:rPr>
        <w:t xml:space="preserve"> </w:t>
      </w:r>
      <w:r w:rsidR="000366E8" w:rsidRPr="00260D2C">
        <w:rPr>
          <w:b/>
          <w:sz w:val="22"/>
          <w:szCs w:val="22"/>
          <w:lang w:val="id-ID"/>
        </w:rPr>
        <w:t xml:space="preserve">Evaluation of Supply Chain Risk of </w:t>
      </w:r>
      <w:r w:rsidR="00F85FE3" w:rsidRPr="00260D2C">
        <w:rPr>
          <w:b/>
          <w:sz w:val="22"/>
          <w:szCs w:val="22"/>
          <w:lang w:val="id-ID"/>
        </w:rPr>
        <w:t>Dadih</w:t>
      </w:r>
      <w:r w:rsidR="000366E8" w:rsidRPr="00260D2C">
        <w:rPr>
          <w:b/>
          <w:sz w:val="22"/>
          <w:szCs w:val="22"/>
          <w:lang w:val="id-ID"/>
        </w:rPr>
        <w:t xml:space="preserve"> Products</w:t>
      </w:r>
    </w:p>
    <w:p w:rsidR="000366E8" w:rsidRDefault="000366E8" w:rsidP="00260D2C">
      <w:pPr>
        <w:spacing w:line="276" w:lineRule="auto"/>
        <w:ind w:firstLine="340"/>
        <w:jc w:val="both"/>
        <w:rPr>
          <w:sz w:val="22"/>
          <w:szCs w:val="22"/>
          <w:lang w:val="id-ID"/>
        </w:rPr>
      </w:pPr>
      <w:r w:rsidRPr="000366E8">
        <w:rPr>
          <w:sz w:val="22"/>
          <w:szCs w:val="22"/>
          <w:lang w:val="id-ID"/>
        </w:rPr>
        <w:t xml:space="preserve">At this stage, the proportion of the added value of actors </w:t>
      </w:r>
      <w:r w:rsidRPr="000730DF">
        <w:t>(</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x</m:t>
            </m:r>
          </m:sub>
        </m:sSub>
      </m:oMath>
      <w:r w:rsidRPr="000730DF">
        <w:t xml:space="preserve">) </w:t>
      </w:r>
      <w:r w:rsidRPr="000366E8">
        <w:rPr>
          <w:sz w:val="22"/>
          <w:szCs w:val="22"/>
          <w:lang w:val="id-ID"/>
        </w:rPr>
        <w:t xml:space="preserve">on the whole chain using the Hayami method template and the risk consequence value of each supply chain actor </w:t>
      </w:r>
      <w:r w:rsidRPr="000730DF">
        <w:t>(</w:t>
      </w:r>
      <w:r w:rsidR="000B52AA">
        <w:t>α</w:t>
      </w:r>
      <w:r w:rsidR="000B52AA" w:rsidRPr="000B52AA">
        <w:rPr>
          <w:vertAlign w:val="subscript"/>
          <w:lang w:val="id-ID"/>
        </w:rPr>
        <w:t>x</w:t>
      </w:r>
      <w:r w:rsidRPr="000730DF">
        <w:t>)</w:t>
      </w:r>
      <w:r w:rsidRPr="000366E8">
        <w:rPr>
          <w:sz w:val="22"/>
          <w:szCs w:val="22"/>
          <w:lang w:val="id-ID"/>
        </w:rPr>
        <w:t xml:space="preserve"> is calculated. The added value describes the rewards for labour, capital and management that are mathematically stated as follows:</w:t>
      </w:r>
    </w:p>
    <w:p w:rsidR="000366E8" w:rsidRPr="000366E8" w:rsidRDefault="000366E8" w:rsidP="000B52AA">
      <w:pPr>
        <w:spacing w:line="276" w:lineRule="auto"/>
        <w:ind w:firstLine="340"/>
        <w:jc w:val="right"/>
        <w:rPr>
          <w:sz w:val="22"/>
          <w:szCs w:val="22"/>
          <w:lang w:val="id-ID"/>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x</m:t>
            </m:r>
          </m:sub>
        </m:sSub>
        <m:r>
          <w:rPr>
            <w:rFonts w:ascii="Cambria Math" w:hAnsi="Cambria Math"/>
            <w:sz w:val="24"/>
            <w:szCs w:val="24"/>
          </w:rPr>
          <m:t>=f { K, B, T, U, H, h, L</m:t>
        </m:r>
        <m:r>
          <w:rPr>
            <w:rFonts w:ascii="Cambria Math" w:hAnsi="Cambria Math"/>
            <w:sz w:val="24"/>
            <w:szCs w:val="24"/>
          </w:rPr>
          <m:t>}</m:t>
        </m:r>
      </m:oMath>
      <w:r>
        <w:rPr>
          <w:sz w:val="24"/>
          <w:szCs w:val="24"/>
          <w:lang w:val="id-ID"/>
        </w:rPr>
        <w:t xml:space="preserve"> </w:t>
      </w:r>
      <w:r>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Pr>
          <w:sz w:val="24"/>
          <w:szCs w:val="24"/>
          <w:lang w:val="id-ID"/>
        </w:rPr>
        <w:tab/>
      </w:r>
      <w:r>
        <w:rPr>
          <w:sz w:val="24"/>
          <w:szCs w:val="24"/>
          <w:lang w:val="id-ID"/>
        </w:rPr>
        <w:tab/>
        <w:t>(1)</w:t>
      </w:r>
    </w:p>
    <w:p w:rsidR="000366E8" w:rsidRDefault="000366E8" w:rsidP="000366E8">
      <w:pPr>
        <w:spacing w:line="276" w:lineRule="auto"/>
        <w:jc w:val="both"/>
        <w:rPr>
          <w:sz w:val="22"/>
          <w:szCs w:val="22"/>
          <w:lang w:val="id-ID"/>
        </w:rPr>
      </w:pPr>
    </w:p>
    <w:p w:rsidR="000366E8" w:rsidRPr="000366E8" w:rsidRDefault="000366E8" w:rsidP="000366E8">
      <w:pPr>
        <w:spacing w:line="276" w:lineRule="auto"/>
        <w:jc w:val="both"/>
        <w:rPr>
          <w:sz w:val="22"/>
          <w:szCs w:val="22"/>
          <w:lang w:val="id-ID"/>
        </w:rPr>
      </w:pPr>
      <w:r>
        <w:rPr>
          <w:sz w:val="22"/>
          <w:szCs w:val="22"/>
          <w:lang w:val="id-ID"/>
        </w:rPr>
        <w:lastRenderedPageBreak/>
        <w:t>Explanation:</w:t>
      </w:r>
      <w:r w:rsidRPr="000366E8">
        <w:rPr>
          <w:sz w:val="22"/>
          <w:szCs w:val="22"/>
          <w:lang w:val="id-ID"/>
        </w:rPr>
        <w:t>  </w:t>
      </w:r>
    </w:p>
    <w:p w:rsidR="000366E8" w:rsidRPr="000366E8" w:rsidRDefault="000366E8" w:rsidP="000366E8">
      <w:pPr>
        <w:spacing w:line="276" w:lineRule="auto"/>
        <w:jc w:val="both"/>
        <w:rPr>
          <w:sz w:val="22"/>
          <w:szCs w:val="22"/>
          <w:lang w:val="id-ID"/>
        </w:rPr>
      </w:pPr>
      <w:r>
        <w:rPr>
          <w:sz w:val="22"/>
          <w:szCs w:val="22"/>
          <w:lang w:val="id-ID"/>
        </w:rPr>
        <w:t>K</w:t>
      </w:r>
      <w:r>
        <w:rPr>
          <w:sz w:val="22"/>
          <w:szCs w:val="22"/>
          <w:lang w:val="id-ID"/>
        </w:rPr>
        <w:tab/>
      </w:r>
      <w:r w:rsidRPr="000366E8">
        <w:rPr>
          <w:sz w:val="22"/>
          <w:szCs w:val="22"/>
          <w:lang w:val="id-ID"/>
        </w:rPr>
        <w:t>= production capacity</w:t>
      </w:r>
    </w:p>
    <w:p w:rsidR="000366E8" w:rsidRPr="000366E8" w:rsidRDefault="000366E8" w:rsidP="000366E8">
      <w:pPr>
        <w:spacing w:line="276" w:lineRule="auto"/>
        <w:jc w:val="both"/>
        <w:rPr>
          <w:sz w:val="22"/>
          <w:szCs w:val="22"/>
          <w:lang w:val="id-ID"/>
        </w:rPr>
      </w:pPr>
      <w:r>
        <w:rPr>
          <w:sz w:val="22"/>
          <w:szCs w:val="22"/>
          <w:lang w:val="id-ID"/>
        </w:rPr>
        <w:t>B</w:t>
      </w:r>
      <w:r>
        <w:rPr>
          <w:sz w:val="22"/>
          <w:szCs w:val="22"/>
          <w:lang w:val="id-ID"/>
        </w:rPr>
        <w:tab/>
      </w:r>
      <w:r w:rsidRPr="000366E8">
        <w:rPr>
          <w:sz w:val="22"/>
          <w:szCs w:val="22"/>
          <w:lang w:val="id-ID"/>
        </w:rPr>
        <w:t>= raw materials used</w:t>
      </w:r>
    </w:p>
    <w:p w:rsidR="000366E8" w:rsidRPr="000366E8" w:rsidRDefault="000366E8" w:rsidP="000366E8">
      <w:pPr>
        <w:spacing w:line="276" w:lineRule="auto"/>
        <w:jc w:val="both"/>
        <w:rPr>
          <w:sz w:val="22"/>
          <w:szCs w:val="22"/>
          <w:lang w:val="id-ID"/>
        </w:rPr>
      </w:pPr>
      <w:r>
        <w:rPr>
          <w:sz w:val="22"/>
          <w:szCs w:val="22"/>
          <w:lang w:val="id-ID"/>
        </w:rPr>
        <w:t>T</w:t>
      </w:r>
      <w:r>
        <w:rPr>
          <w:sz w:val="22"/>
          <w:szCs w:val="22"/>
          <w:lang w:val="id-ID"/>
        </w:rPr>
        <w:tab/>
      </w:r>
      <w:r w:rsidRPr="000366E8">
        <w:rPr>
          <w:sz w:val="22"/>
          <w:szCs w:val="22"/>
          <w:lang w:val="id-ID"/>
        </w:rPr>
        <w:t>= labour used</w:t>
      </w:r>
    </w:p>
    <w:p w:rsidR="000366E8" w:rsidRPr="000366E8" w:rsidRDefault="000366E8" w:rsidP="000366E8">
      <w:pPr>
        <w:spacing w:line="276" w:lineRule="auto"/>
        <w:jc w:val="both"/>
        <w:rPr>
          <w:sz w:val="22"/>
          <w:szCs w:val="22"/>
          <w:lang w:val="id-ID"/>
        </w:rPr>
      </w:pPr>
      <w:r>
        <w:rPr>
          <w:sz w:val="22"/>
          <w:szCs w:val="22"/>
          <w:lang w:val="id-ID"/>
        </w:rPr>
        <w:t>U</w:t>
      </w:r>
      <w:r>
        <w:rPr>
          <w:sz w:val="22"/>
          <w:szCs w:val="22"/>
          <w:lang w:val="id-ID"/>
        </w:rPr>
        <w:tab/>
      </w:r>
      <w:r w:rsidRPr="000366E8">
        <w:rPr>
          <w:sz w:val="22"/>
          <w:szCs w:val="22"/>
          <w:lang w:val="id-ID"/>
        </w:rPr>
        <w:t>= wages of labour</w:t>
      </w:r>
    </w:p>
    <w:p w:rsidR="000366E8" w:rsidRPr="000366E8" w:rsidRDefault="000366E8" w:rsidP="000366E8">
      <w:pPr>
        <w:spacing w:line="276" w:lineRule="auto"/>
        <w:jc w:val="both"/>
        <w:rPr>
          <w:sz w:val="22"/>
          <w:szCs w:val="22"/>
          <w:lang w:val="id-ID"/>
        </w:rPr>
      </w:pPr>
      <w:r>
        <w:rPr>
          <w:sz w:val="22"/>
          <w:szCs w:val="22"/>
          <w:lang w:val="id-ID"/>
        </w:rPr>
        <w:t>H</w:t>
      </w:r>
      <w:r>
        <w:rPr>
          <w:sz w:val="22"/>
          <w:szCs w:val="22"/>
          <w:lang w:val="id-ID"/>
        </w:rPr>
        <w:tab/>
      </w:r>
      <w:r w:rsidRPr="000366E8">
        <w:rPr>
          <w:sz w:val="22"/>
          <w:szCs w:val="22"/>
          <w:lang w:val="id-ID"/>
        </w:rPr>
        <w:t>= output price</w:t>
      </w:r>
    </w:p>
    <w:p w:rsidR="000366E8" w:rsidRPr="000366E8" w:rsidRDefault="000366E8" w:rsidP="000366E8">
      <w:pPr>
        <w:spacing w:line="276" w:lineRule="auto"/>
        <w:jc w:val="both"/>
        <w:rPr>
          <w:sz w:val="22"/>
          <w:szCs w:val="22"/>
          <w:lang w:val="id-ID"/>
        </w:rPr>
      </w:pPr>
      <w:r>
        <w:rPr>
          <w:sz w:val="22"/>
          <w:szCs w:val="22"/>
          <w:lang w:val="id-ID"/>
        </w:rPr>
        <w:t>h</w:t>
      </w:r>
      <w:r>
        <w:rPr>
          <w:sz w:val="22"/>
          <w:szCs w:val="22"/>
          <w:lang w:val="id-ID"/>
        </w:rPr>
        <w:tab/>
      </w:r>
      <w:r w:rsidRPr="000366E8">
        <w:rPr>
          <w:sz w:val="22"/>
          <w:szCs w:val="22"/>
          <w:lang w:val="id-ID"/>
        </w:rPr>
        <w:t>= raw material price</w:t>
      </w:r>
    </w:p>
    <w:p w:rsidR="000366E8" w:rsidRDefault="000366E8" w:rsidP="000366E8">
      <w:pPr>
        <w:spacing w:line="276" w:lineRule="auto"/>
        <w:jc w:val="both"/>
        <w:rPr>
          <w:sz w:val="22"/>
          <w:szCs w:val="22"/>
          <w:lang w:val="id-ID"/>
        </w:rPr>
      </w:pPr>
      <w:r>
        <w:rPr>
          <w:sz w:val="22"/>
          <w:szCs w:val="22"/>
          <w:lang w:val="id-ID"/>
        </w:rPr>
        <w:t>L</w:t>
      </w:r>
      <w:r>
        <w:rPr>
          <w:sz w:val="22"/>
          <w:szCs w:val="22"/>
          <w:lang w:val="id-ID"/>
        </w:rPr>
        <w:tab/>
      </w:r>
      <w:r w:rsidRPr="000366E8">
        <w:rPr>
          <w:sz w:val="22"/>
          <w:szCs w:val="22"/>
          <w:lang w:val="id-ID"/>
        </w:rPr>
        <w:t xml:space="preserve">= other input value </w:t>
      </w:r>
    </w:p>
    <w:p w:rsidR="000366E8" w:rsidRDefault="000366E8" w:rsidP="000366E8">
      <w:pPr>
        <w:spacing w:line="276" w:lineRule="auto"/>
        <w:ind w:firstLine="216"/>
        <w:jc w:val="both"/>
        <w:rPr>
          <w:sz w:val="22"/>
          <w:szCs w:val="22"/>
          <w:lang w:val="id-ID"/>
        </w:rPr>
      </w:pPr>
    </w:p>
    <w:p w:rsidR="000366E8" w:rsidRDefault="000366E8" w:rsidP="006F42E7">
      <w:pPr>
        <w:spacing w:line="276" w:lineRule="auto"/>
        <w:ind w:firstLine="284"/>
        <w:jc w:val="both"/>
        <w:rPr>
          <w:sz w:val="22"/>
          <w:szCs w:val="22"/>
          <w:lang w:val="id-ID"/>
        </w:rPr>
      </w:pPr>
      <w:r w:rsidRPr="000366E8">
        <w:rPr>
          <w:sz w:val="22"/>
          <w:szCs w:val="22"/>
          <w:lang w:val="id-ID"/>
        </w:rPr>
        <w:t>The risk index value is at a value between zero and one. Consequence values can be classified as vital, required, required, and desirable as in Table 1.</w:t>
      </w:r>
    </w:p>
    <w:p w:rsidR="000366E8" w:rsidRDefault="000366E8" w:rsidP="000366E8">
      <w:pPr>
        <w:spacing w:line="276" w:lineRule="auto"/>
        <w:ind w:firstLine="216"/>
        <w:jc w:val="both"/>
        <w:rPr>
          <w:sz w:val="22"/>
          <w:szCs w:val="22"/>
          <w:lang w:val="id-ID"/>
        </w:rPr>
      </w:pPr>
    </w:p>
    <w:p w:rsidR="000B52AA" w:rsidRPr="00260D2C" w:rsidRDefault="000366E8" w:rsidP="000B52AA">
      <w:pPr>
        <w:spacing w:line="276" w:lineRule="auto"/>
        <w:jc w:val="center"/>
        <w:rPr>
          <w:lang w:val="id-ID"/>
        </w:rPr>
      </w:pPr>
      <w:r w:rsidRPr="00260D2C">
        <w:rPr>
          <w:lang w:val="id-ID"/>
        </w:rPr>
        <w:t>Table 1</w:t>
      </w:r>
    </w:p>
    <w:p w:rsidR="000366E8" w:rsidRDefault="000366E8" w:rsidP="000B52AA">
      <w:pPr>
        <w:spacing w:line="276" w:lineRule="auto"/>
        <w:jc w:val="center"/>
        <w:rPr>
          <w:sz w:val="22"/>
          <w:szCs w:val="22"/>
          <w:lang w:val="id-ID"/>
        </w:rPr>
      </w:pPr>
      <w:r w:rsidRPr="00260D2C">
        <w:rPr>
          <w:lang w:val="id-ID"/>
        </w:rPr>
        <w:t>Value of risk consequences</w:t>
      </w:r>
    </w:p>
    <w:tbl>
      <w:tblPr>
        <w:tblW w:w="4897" w:type="dxa"/>
        <w:jc w:val="center"/>
        <w:tblLook w:val="04A0" w:firstRow="1" w:lastRow="0" w:firstColumn="1" w:lastColumn="0" w:noHBand="0" w:noVBand="1"/>
      </w:tblPr>
      <w:tblGrid>
        <w:gridCol w:w="1361"/>
        <w:gridCol w:w="2402"/>
        <w:gridCol w:w="1134"/>
      </w:tblGrid>
      <w:tr w:rsidR="000366E8" w:rsidRPr="000730DF" w:rsidTr="009D155D">
        <w:trPr>
          <w:trHeight w:val="315"/>
          <w:jc w:val="center"/>
        </w:trPr>
        <w:tc>
          <w:tcPr>
            <w:tcW w:w="1361" w:type="dxa"/>
            <w:tcBorders>
              <w:top w:val="single" w:sz="4" w:space="0" w:color="auto"/>
              <w:left w:val="nil"/>
              <w:bottom w:val="single" w:sz="4" w:space="0" w:color="auto"/>
              <w:right w:val="nil"/>
            </w:tcBorders>
            <w:shd w:val="clear" w:color="auto" w:fill="auto"/>
            <w:noWrap/>
            <w:vAlign w:val="bottom"/>
            <w:hideMark/>
          </w:tcPr>
          <w:p w:rsidR="000366E8" w:rsidRPr="000366E8" w:rsidRDefault="000366E8" w:rsidP="00820538">
            <w:pPr>
              <w:rPr>
                <w:color w:val="000000"/>
                <w:lang w:val="id-ID" w:eastAsia="id-ID"/>
              </w:rPr>
            </w:pPr>
            <w:r>
              <w:rPr>
                <w:color w:val="000000"/>
                <w:lang w:val="id-ID" w:eastAsia="id-ID"/>
              </w:rPr>
              <w:t>Consequences</w:t>
            </w:r>
          </w:p>
        </w:tc>
        <w:tc>
          <w:tcPr>
            <w:tcW w:w="2402" w:type="dxa"/>
            <w:tcBorders>
              <w:top w:val="single" w:sz="4" w:space="0" w:color="auto"/>
              <w:left w:val="nil"/>
              <w:bottom w:val="single" w:sz="4" w:space="0" w:color="auto"/>
              <w:right w:val="nil"/>
            </w:tcBorders>
            <w:shd w:val="clear" w:color="auto" w:fill="auto"/>
            <w:noWrap/>
            <w:vAlign w:val="bottom"/>
            <w:hideMark/>
          </w:tcPr>
          <w:p w:rsidR="000366E8" w:rsidRPr="000366E8" w:rsidRDefault="000366E8" w:rsidP="00820538">
            <w:pPr>
              <w:rPr>
                <w:color w:val="000000"/>
                <w:lang w:val="id-ID" w:eastAsia="id-ID"/>
              </w:rPr>
            </w:pPr>
            <w:r>
              <w:rPr>
                <w:color w:val="000000"/>
                <w:lang w:val="id-ID" w:eastAsia="id-ID"/>
              </w:rPr>
              <w:t>Explanation</w:t>
            </w:r>
          </w:p>
        </w:tc>
        <w:tc>
          <w:tcPr>
            <w:tcW w:w="1134" w:type="dxa"/>
            <w:tcBorders>
              <w:top w:val="single" w:sz="4" w:space="0" w:color="auto"/>
              <w:left w:val="nil"/>
              <w:bottom w:val="single" w:sz="4" w:space="0" w:color="auto"/>
              <w:right w:val="nil"/>
            </w:tcBorders>
            <w:shd w:val="clear" w:color="auto" w:fill="auto"/>
            <w:noWrap/>
            <w:vAlign w:val="bottom"/>
            <w:hideMark/>
          </w:tcPr>
          <w:p w:rsidR="000366E8" w:rsidRPr="000730DF" w:rsidRDefault="00914E17" w:rsidP="00820538">
            <w:pPr>
              <w:rPr>
                <w:color w:val="000000"/>
                <w:lang w:eastAsia="id-ID"/>
              </w:rPr>
            </w:pPr>
            <w:r w:rsidRPr="000730DF">
              <w:rPr>
                <w:color w:val="000000"/>
                <w:lang w:eastAsia="id-ID"/>
              </w:rPr>
              <w:t>Α</w:t>
            </w:r>
          </w:p>
        </w:tc>
      </w:tr>
      <w:tr w:rsidR="000366E8" w:rsidRPr="000730DF" w:rsidTr="009D155D">
        <w:trPr>
          <w:trHeight w:val="315"/>
          <w:jc w:val="center"/>
        </w:trPr>
        <w:tc>
          <w:tcPr>
            <w:tcW w:w="1361"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730DF">
              <w:rPr>
                <w:color w:val="000000"/>
                <w:lang w:eastAsia="id-ID"/>
              </w:rPr>
              <w:t>Vital</w:t>
            </w:r>
          </w:p>
        </w:tc>
        <w:tc>
          <w:tcPr>
            <w:tcW w:w="2402"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366E8">
              <w:rPr>
                <w:color w:val="000000"/>
                <w:lang w:eastAsia="id-ID"/>
              </w:rPr>
              <w:t>Irreplaceable</w:t>
            </w:r>
          </w:p>
        </w:tc>
        <w:tc>
          <w:tcPr>
            <w:tcW w:w="1134"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730DF">
              <w:rPr>
                <w:color w:val="000000"/>
                <w:lang w:eastAsia="id-ID"/>
              </w:rPr>
              <w:t>1</w:t>
            </w:r>
          </w:p>
        </w:tc>
      </w:tr>
      <w:tr w:rsidR="000366E8" w:rsidRPr="000730DF" w:rsidTr="009D155D">
        <w:trPr>
          <w:trHeight w:val="315"/>
          <w:jc w:val="center"/>
        </w:trPr>
        <w:tc>
          <w:tcPr>
            <w:tcW w:w="1361" w:type="dxa"/>
            <w:tcBorders>
              <w:top w:val="nil"/>
              <w:left w:val="nil"/>
              <w:bottom w:val="nil"/>
              <w:right w:val="nil"/>
            </w:tcBorders>
            <w:shd w:val="clear" w:color="auto" w:fill="auto"/>
            <w:noWrap/>
            <w:vAlign w:val="bottom"/>
            <w:hideMark/>
          </w:tcPr>
          <w:p w:rsidR="000366E8" w:rsidRPr="009D155D" w:rsidRDefault="009D155D" w:rsidP="00820538">
            <w:pPr>
              <w:rPr>
                <w:color w:val="000000"/>
                <w:lang w:val="id-ID" w:eastAsia="id-ID"/>
              </w:rPr>
            </w:pPr>
            <w:r>
              <w:rPr>
                <w:color w:val="000000"/>
                <w:lang w:val="id-ID" w:eastAsia="id-ID"/>
              </w:rPr>
              <w:t>Needed</w:t>
            </w:r>
          </w:p>
        </w:tc>
        <w:tc>
          <w:tcPr>
            <w:tcW w:w="2402"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366E8">
              <w:rPr>
                <w:color w:val="000000"/>
                <w:lang w:eastAsia="id-ID"/>
              </w:rPr>
              <w:t>Not easily replaced</w:t>
            </w:r>
          </w:p>
        </w:tc>
        <w:tc>
          <w:tcPr>
            <w:tcW w:w="1134"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730DF">
              <w:rPr>
                <w:color w:val="000000"/>
                <w:lang w:eastAsia="id-ID"/>
              </w:rPr>
              <w:t>0,6</w:t>
            </w:r>
          </w:p>
        </w:tc>
      </w:tr>
      <w:tr w:rsidR="000366E8" w:rsidRPr="000730DF" w:rsidTr="009D155D">
        <w:trPr>
          <w:trHeight w:val="315"/>
          <w:jc w:val="center"/>
        </w:trPr>
        <w:tc>
          <w:tcPr>
            <w:tcW w:w="1361" w:type="dxa"/>
            <w:tcBorders>
              <w:top w:val="nil"/>
              <w:left w:val="nil"/>
              <w:bottom w:val="nil"/>
              <w:right w:val="nil"/>
            </w:tcBorders>
            <w:shd w:val="clear" w:color="auto" w:fill="auto"/>
            <w:noWrap/>
            <w:vAlign w:val="bottom"/>
            <w:hideMark/>
          </w:tcPr>
          <w:p w:rsidR="000366E8" w:rsidRPr="009D155D" w:rsidRDefault="009D155D" w:rsidP="00820538">
            <w:pPr>
              <w:rPr>
                <w:color w:val="000000"/>
                <w:lang w:val="id-ID" w:eastAsia="id-ID"/>
              </w:rPr>
            </w:pPr>
            <w:r>
              <w:rPr>
                <w:color w:val="000000"/>
                <w:lang w:val="id-ID" w:eastAsia="id-ID"/>
              </w:rPr>
              <w:t>Required</w:t>
            </w:r>
          </w:p>
        </w:tc>
        <w:tc>
          <w:tcPr>
            <w:tcW w:w="2402"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366E8">
              <w:rPr>
                <w:color w:val="000000"/>
                <w:lang w:eastAsia="id-ID"/>
              </w:rPr>
              <w:t>Easy to replace</w:t>
            </w:r>
          </w:p>
        </w:tc>
        <w:tc>
          <w:tcPr>
            <w:tcW w:w="1134" w:type="dxa"/>
            <w:tcBorders>
              <w:top w:val="nil"/>
              <w:left w:val="nil"/>
              <w:bottom w:val="nil"/>
              <w:right w:val="nil"/>
            </w:tcBorders>
            <w:shd w:val="clear" w:color="auto" w:fill="auto"/>
            <w:noWrap/>
            <w:vAlign w:val="bottom"/>
            <w:hideMark/>
          </w:tcPr>
          <w:p w:rsidR="000366E8" w:rsidRPr="000730DF" w:rsidRDefault="000366E8" w:rsidP="00820538">
            <w:pPr>
              <w:rPr>
                <w:color w:val="000000"/>
                <w:lang w:eastAsia="id-ID"/>
              </w:rPr>
            </w:pPr>
            <w:r w:rsidRPr="000730DF">
              <w:rPr>
                <w:color w:val="000000"/>
                <w:lang w:eastAsia="id-ID"/>
              </w:rPr>
              <w:t>0,3</w:t>
            </w:r>
          </w:p>
        </w:tc>
      </w:tr>
      <w:tr w:rsidR="000366E8" w:rsidRPr="000730DF" w:rsidTr="009D155D">
        <w:trPr>
          <w:trHeight w:val="315"/>
          <w:jc w:val="center"/>
        </w:trPr>
        <w:tc>
          <w:tcPr>
            <w:tcW w:w="1361" w:type="dxa"/>
            <w:tcBorders>
              <w:top w:val="nil"/>
              <w:left w:val="nil"/>
              <w:bottom w:val="single" w:sz="4" w:space="0" w:color="auto"/>
              <w:right w:val="nil"/>
            </w:tcBorders>
            <w:shd w:val="clear" w:color="auto" w:fill="auto"/>
            <w:noWrap/>
            <w:vAlign w:val="bottom"/>
            <w:hideMark/>
          </w:tcPr>
          <w:p w:rsidR="000366E8" w:rsidRPr="009D155D" w:rsidRDefault="009D155D" w:rsidP="00820538">
            <w:pPr>
              <w:rPr>
                <w:color w:val="000000"/>
                <w:lang w:val="id-ID" w:eastAsia="id-ID"/>
              </w:rPr>
            </w:pPr>
            <w:r>
              <w:rPr>
                <w:color w:val="000000"/>
                <w:lang w:val="id-ID" w:eastAsia="id-ID"/>
              </w:rPr>
              <w:t xml:space="preserve">Desired </w:t>
            </w:r>
          </w:p>
        </w:tc>
        <w:tc>
          <w:tcPr>
            <w:tcW w:w="2402" w:type="dxa"/>
            <w:tcBorders>
              <w:top w:val="nil"/>
              <w:left w:val="nil"/>
              <w:bottom w:val="single" w:sz="4" w:space="0" w:color="auto"/>
              <w:right w:val="nil"/>
            </w:tcBorders>
            <w:shd w:val="clear" w:color="auto" w:fill="auto"/>
            <w:noWrap/>
            <w:vAlign w:val="bottom"/>
            <w:hideMark/>
          </w:tcPr>
          <w:p w:rsidR="000366E8" w:rsidRPr="000730DF" w:rsidRDefault="000B52AA" w:rsidP="00820538">
            <w:pPr>
              <w:rPr>
                <w:color w:val="000000"/>
                <w:lang w:eastAsia="id-ID"/>
              </w:rPr>
            </w:pPr>
            <w:r>
              <w:rPr>
                <w:color w:val="000000"/>
                <w:lang w:eastAsia="id-ID"/>
              </w:rPr>
              <w:t>Easy to replace</w:t>
            </w:r>
          </w:p>
        </w:tc>
        <w:tc>
          <w:tcPr>
            <w:tcW w:w="1134" w:type="dxa"/>
            <w:tcBorders>
              <w:top w:val="nil"/>
              <w:left w:val="nil"/>
              <w:bottom w:val="single" w:sz="4" w:space="0" w:color="auto"/>
              <w:right w:val="nil"/>
            </w:tcBorders>
            <w:shd w:val="clear" w:color="auto" w:fill="auto"/>
            <w:noWrap/>
            <w:vAlign w:val="bottom"/>
            <w:hideMark/>
          </w:tcPr>
          <w:p w:rsidR="000366E8" w:rsidRPr="000730DF" w:rsidRDefault="000366E8" w:rsidP="00820538">
            <w:pPr>
              <w:rPr>
                <w:color w:val="000000"/>
                <w:lang w:eastAsia="id-ID"/>
              </w:rPr>
            </w:pPr>
            <w:r w:rsidRPr="000730DF">
              <w:rPr>
                <w:color w:val="000000"/>
                <w:lang w:eastAsia="id-ID"/>
              </w:rPr>
              <w:t>0,1</w:t>
            </w:r>
          </w:p>
        </w:tc>
      </w:tr>
    </w:tbl>
    <w:p w:rsidR="009D155D" w:rsidRDefault="009D155D" w:rsidP="000366E8">
      <w:pPr>
        <w:spacing w:line="276" w:lineRule="auto"/>
        <w:ind w:firstLine="216"/>
        <w:jc w:val="both"/>
        <w:rPr>
          <w:sz w:val="22"/>
          <w:szCs w:val="22"/>
          <w:lang w:val="id-ID"/>
        </w:rPr>
      </w:pPr>
    </w:p>
    <w:p w:rsidR="000366E8" w:rsidRDefault="009D155D" w:rsidP="000366E8">
      <w:pPr>
        <w:spacing w:line="276" w:lineRule="auto"/>
        <w:ind w:firstLine="216"/>
        <w:jc w:val="both"/>
        <w:rPr>
          <w:sz w:val="22"/>
          <w:szCs w:val="22"/>
          <w:lang w:val="id-ID"/>
        </w:rPr>
      </w:pPr>
      <w:r w:rsidRPr="009D155D">
        <w:rPr>
          <w:sz w:val="22"/>
          <w:szCs w:val="22"/>
          <w:lang w:val="id-ID"/>
        </w:rPr>
        <w:t>Then</w:t>
      </w:r>
      <w:r w:rsidR="000B52AA">
        <w:rPr>
          <w:sz w:val="22"/>
          <w:szCs w:val="22"/>
          <w:lang w:val="id-ID"/>
        </w:rPr>
        <w:t>, based on</w:t>
      </w:r>
      <w:r w:rsidRPr="009D155D">
        <w:rPr>
          <w:sz w:val="22"/>
          <w:szCs w:val="22"/>
          <w:lang w:val="id-ID"/>
        </w:rPr>
        <w:t xml:space="preserve"> the information, calculated risk index on each network using Risk Index formula as follows:</w:t>
      </w:r>
    </w:p>
    <w:p w:rsidR="009D155D" w:rsidRPr="009D155D" w:rsidRDefault="009D155D" w:rsidP="000B52AA">
      <w:pPr>
        <w:spacing w:line="276" w:lineRule="auto"/>
        <w:ind w:firstLine="216"/>
        <w:jc w:val="right"/>
        <w:rPr>
          <w:sz w:val="22"/>
          <w:szCs w:val="22"/>
          <w:lang w:val="id-ID"/>
        </w:rPr>
      </w:pPr>
      <m:oMath>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x</m:t>
            </m:r>
          </m:sub>
        </m:sSub>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x </m:t>
            </m:r>
          </m:sub>
        </m:sSub>
        <m:d>
          <m:dPr>
            <m:ctrlPr>
              <w:rPr>
                <w:rFonts w:ascii="Cambria Math" w:hAnsi="Cambria Math"/>
                <w:i/>
                <w:sz w:val="24"/>
                <w:szCs w:val="24"/>
              </w:rPr>
            </m:ctrlPr>
          </m:dPr>
          <m:e>
            <m:r>
              <w:rPr>
                <w:rFonts w:ascii="Cambria Math" w:hAnsi="Cambria Math"/>
                <w:sz w:val="24"/>
                <w:szCs w:val="24"/>
              </w:rPr>
              <m:t>1-</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X</m:t>
                    </m:r>
                  </m:e>
                </m:d>
              </m:e>
            </m:nary>
          </m:e>
        </m:d>
      </m:oMath>
      <w:r>
        <w:rPr>
          <w:sz w:val="24"/>
          <w:szCs w:val="24"/>
          <w:lang w:val="id-ID"/>
        </w:rPr>
        <w:t xml:space="preserve"> </w:t>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sidR="000B52AA">
        <w:rPr>
          <w:sz w:val="24"/>
          <w:szCs w:val="24"/>
          <w:lang w:val="id-ID"/>
        </w:rPr>
        <w:tab/>
      </w:r>
      <w:r>
        <w:rPr>
          <w:sz w:val="24"/>
          <w:szCs w:val="24"/>
          <w:lang w:val="id-ID"/>
        </w:rPr>
        <w:t>(2)</w:t>
      </w:r>
    </w:p>
    <w:p w:rsidR="009D155D" w:rsidRDefault="009D155D" w:rsidP="000366E8">
      <w:pPr>
        <w:spacing w:line="276" w:lineRule="auto"/>
        <w:ind w:firstLine="216"/>
        <w:jc w:val="both"/>
        <w:rPr>
          <w:sz w:val="22"/>
          <w:szCs w:val="22"/>
          <w:lang w:val="id-ID"/>
        </w:rPr>
      </w:pPr>
      <w:r>
        <w:rPr>
          <w:sz w:val="22"/>
          <w:szCs w:val="22"/>
          <w:lang w:val="id-ID"/>
        </w:rPr>
        <w:t>Explanation:</w:t>
      </w:r>
    </w:p>
    <w:tbl>
      <w:tblPr>
        <w:tblW w:w="5000" w:type="pct"/>
        <w:tblLook w:val="04A0" w:firstRow="1" w:lastRow="0" w:firstColumn="1" w:lastColumn="0" w:noHBand="0" w:noVBand="1"/>
      </w:tblPr>
      <w:tblGrid>
        <w:gridCol w:w="576"/>
        <w:gridCol w:w="329"/>
        <w:gridCol w:w="7885"/>
      </w:tblGrid>
      <w:tr w:rsidR="009D155D" w:rsidRPr="000730DF" w:rsidTr="009D155D">
        <w:trPr>
          <w:trHeight w:val="265"/>
        </w:trPr>
        <w:tc>
          <w:tcPr>
            <w:tcW w:w="328" w:type="pct"/>
            <w:shd w:val="clear" w:color="auto" w:fill="auto"/>
          </w:tcPr>
          <w:p w:rsidR="009D155D" w:rsidRPr="009D155D" w:rsidRDefault="009D155D" w:rsidP="00820538">
            <w:pPr>
              <w:rPr>
                <w:rFonts w:eastAsia="Calibri"/>
              </w:rPr>
            </w:pPr>
            <m:oMathPara>
              <m:oMath>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x</m:t>
                    </m:r>
                  </m:sub>
                </m:sSub>
              </m:oMath>
            </m:oMathPara>
          </w:p>
        </w:tc>
        <w:tc>
          <w:tcPr>
            <w:tcW w:w="187" w:type="pct"/>
            <w:shd w:val="clear" w:color="auto" w:fill="auto"/>
          </w:tcPr>
          <w:p w:rsidR="009D155D" w:rsidRPr="000730DF" w:rsidRDefault="009D155D" w:rsidP="00820538">
            <w:pPr>
              <w:jc w:val="both"/>
            </w:pPr>
            <w:r w:rsidRPr="000730DF">
              <w:t xml:space="preserve">= </w:t>
            </w:r>
          </w:p>
        </w:tc>
        <w:tc>
          <w:tcPr>
            <w:tcW w:w="4485" w:type="pct"/>
            <w:shd w:val="clear" w:color="auto" w:fill="auto"/>
          </w:tcPr>
          <w:p w:rsidR="009D155D" w:rsidRPr="009D155D" w:rsidRDefault="009D155D" w:rsidP="000B52AA">
            <w:pPr>
              <w:spacing w:line="276" w:lineRule="auto"/>
              <w:jc w:val="both"/>
              <w:rPr>
                <w:sz w:val="22"/>
                <w:szCs w:val="22"/>
                <w:lang w:val="id-ID"/>
              </w:rPr>
            </w:pPr>
            <w:r>
              <w:rPr>
                <w:sz w:val="22"/>
                <w:szCs w:val="22"/>
                <w:lang w:val="id-ID"/>
              </w:rPr>
              <w:t xml:space="preserve">Risk index of the </w:t>
            </w:r>
            <w:r w:rsidR="00496506">
              <w:rPr>
                <w:sz w:val="22"/>
                <w:szCs w:val="22"/>
                <w:lang w:val="id-ID"/>
              </w:rPr>
              <w:t>x-</w:t>
            </w:r>
            <w:r w:rsidR="000B52AA">
              <w:rPr>
                <w:sz w:val="22"/>
                <w:szCs w:val="22"/>
                <w:lang w:val="id-ID"/>
              </w:rPr>
              <w:t>stakeholder</w:t>
            </w:r>
            <w:r w:rsidR="00496506">
              <w:rPr>
                <w:sz w:val="22"/>
                <w:szCs w:val="22"/>
                <w:lang w:val="id-ID"/>
              </w:rPr>
              <w:t xml:space="preserve"> </w:t>
            </w:r>
          </w:p>
        </w:tc>
      </w:tr>
      <w:tr w:rsidR="009D155D" w:rsidRPr="000730DF" w:rsidTr="009D155D">
        <w:trPr>
          <w:trHeight w:val="493"/>
        </w:trPr>
        <w:tc>
          <w:tcPr>
            <w:tcW w:w="328" w:type="pct"/>
            <w:shd w:val="clear" w:color="auto" w:fill="auto"/>
          </w:tcPr>
          <w:p w:rsidR="009D155D" w:rsidRPr="009D155D" w:rsidRDefault="009D155D" w:rsidP="00820538">
            <w:pPr>
              <w:rPr>
                <w:rFonts w:eastAsia="Calibri"/>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x</m:t>
                    </m:r>
                  </m:sub>
                </m:sSub>
              </m:oMath>
            </m:oMathPara>
          </w:p>
        </w:tc>
        <w:tc>
          <w:tcPr>
            <w:tcW w:w="187" w:type="pct"/>
            <w:shd w:val="clear" w:color="auto" w:fill="auto"/>
          </w:tcPr>
          <w:p w:rsidR="009D155D" w:rsidRPr="000730DF" w:rsidRDefault="009D155D" w:rsidP="00820538">
            <w:pPr>
              <w:jc w:val="both"/>
            </w:pPr>
            <w:r w:rsidRPr="000730DF">
              <w:t xml:space="preserve">=  </w:t>
            </w:r>
          </w:p>
        </w:tc>
        <w:tc>
          <w:tcPr>
            <w:tcW w:w="4485" w:type="pct"/>
            <w:shd w:val="clear" w:color="auto" w:fill="auto"/>
          </w:tcPr>
          <w:p w:rsidR="009D155D" w:rsidRPr="009D155D" w:rsidRDefault="000B52AA" w:rsidP="000B52AA">
            <w:pPr>
              <w:spacing w:line="276" w:lineRule="auto"/>
              <w:jc w:val="both"/>
              <w:rPr>
                <w:sz w:val="22"/>
                <w:szCs w:val="22"/>
                <w:lang w:val="id-ID"/>
              </w:rPr>
            </w:pPr>
            <w:r>
              <w:rPr>
                <w:sz w:val="22"/>
                <w:szCs w:val="22"/>
                <w:lang w:val="id-ID"/>
              </w:rPr>
              <w:t>The consequence of the stakeholder x</w:t>
            </w:r>
            <w:r w:rsidRPr="000B52AA">
              <w:rPr>
                <w:sz w:val="22"/>
                <w:szCs w:val="22"/>
                <w:lang w:val="id-ID"/>
              </w:rPr>
              <w:t xml:space="preserve"> that the offender must bear when the product fails to supply</w:t>
            </w:r>
            <w:r w:rsidR="009D155D">
              <w:rPr>
                <w:sz w:val="22"/>
                <w:szCs w:val="22"/>
                <w:lang w:val="id-ID"/>
              </w:rPr>
              <w:t>.</w:t>
            </w:r>
          </w:p>
        </w:tc>
      </w:tr>
      <w:tr w:rsidR="009D155D" w:rsidRPr="000730DF" w:rsidTr="009D155D">
        <w:trPr>
          <w:trHeight w:val="223"/>
        </w:trPr>
        <w:tc>
          <w:tcPr>
            <w:tcW w:w="328" w:type="pct"/>
            <w:shd w:val="clear" w:color="auto" w:fill="auto"/>
          </w:tcPr>
          <w:p w:rsidR="009D155D" w:rsidRPr="009D155D" w:rsidRDefault="009D155D" w:rsidP="00820538">
            <w:pPr>
              <w:rPr>
                <w:rFonts w:eastAsia="Calibri"/>
              </w:rPr>
            </w:pPr>
            <m:oMathPara>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x </m:t>
                    </m:r>
                  </m:sub>
                </m:sSub>
              </m:oMath>
            </m:oMathPara>
          </w:p>
        </w:tc>
        <w:tc>
          <w:tcPr>
            <w:tcW w:w="187" w:type="pct"/>
            <w:shd w:val="clear" w:color="auto" w:fill="auto"/>
          </w:tcPr>
          <w:p w:rsidR="009D155D" w:rsidRPr="000730DF" w:rsidRDefault="009D155D" w:rsidP="00820538">
            <w:pPr>
              <w:jc w:val="both"/>
            </w:pPr>
            <w:r w:rsidRPr="000730DF">
              <w:t xml:space="preserve">= </w:t>
            </w:r>
          </w:p>
        </w:tc>
        <w:tc>
          <w:tcPr>
            <w:tcW w:w="4485" w:type="pct"/>
            <w:shd w:val="clear" w:color="auto" w:fill="auto"/>
          </w:tcPr>
          <w:p w:rsidR="009D155D" w:rsidRPr="009D155D" w:rsidRDefault="009D155D" w:rsidP="000B52AA">
            <w:pPr>
              <w:spacing w:line="276" w:lineRule="auto"/>
              <w:jc w:val="both"/>
              <w:rPr>
                <w:sz w:val="22"/>
                <w:szCs w:val="22"/>
                <w:lang w:val="id-ID"/>
              </w:rPr>
            </w:pPr>
            <w:r>
              <w:rPr>
                <w:sz w:val="22"/>
                <w:szCs w:val="22"/>
                <w:lang w:val="id-ID"/>
              </w:rPr>
              <w:t>T</w:t>
            </w:r>
            <w:r w:rsidRPr="009D155D">
              <w:rPr>
                <w:sz w:val="22"/>
                <w:szCs w:val="22"/>
                <w:lang w:val="id-ID"/>
              </w:rPr>
              <w:t>he percentage of added value pr</w:t>
            </w:r>
            <w:r>
              <w:rPr>
                <w:sz w:val="22"/>
                <w:szCs w:val="22"/>
                <w:lang w:val="id-ID"/>
              </w:rPr>
              <w:t xml:space="preserve">ovided by </w:t>
            </w:r>
            <w:r w:rsidR="00496506">
              <w:rPr>
                <w:sz w:val="22"/>
                <w:szCs w:val="22"/>
                <w:lang w:val="id-ID"/>
              </w:rPr>
              <w:t xml:space="preserve">the x-stakeholder </w:t>
            </w:r>
          </w:p>
        </w:tc>
      </w:tr>
      <w:tr w:rsidR="009D155D" w:rsidRPr="000730DF" w:rsidTr="009D155D">
        <w:trPr>
          <w:trHeight w:val="280"/>
        </w:trPr>
        <w:tc>
          <w:tcPr>
            <w:tcW w:w="328" w:type="pct"/>
            <w:shd w:val="clear" w:color="auto" w:fill="auto"/>
          </w:tcPr>
          <w:p w:rsidR="009D155D" w:rsidRPr="009D155D" w:rsidRDefault="009D155D" w:rsidP="00820538">
            <w:pPr>
              <w:rPr>
                <w:rFonts w:ascii="Calibri" w:eastAsia="Calibri" w:hAnsi="Calibri"/>
              </w:rPr>
            </w:pPr>
            <m:oMathPara>
              <m:oMath>
                <m:r>
                  <w:rPr>
                    <w:rFonts w:ascii="Cambria Math" w:hAnsi="Cambria Math"/>
                    <w:sz w:val="24"/>
                    <w:szCs w:val="24"/>
                  </w:rPr>
                  <m:t>x</m:t>
                </m:r>
              </m:oMath>
            </m:oMathPara>
          </w:p>
        </w:tc>
        <w:tc>
          <w:tcPr>
            <w:tcW w:w="187" w:type="pct"/>
            <w:shd w:val="clear" w:color="auto" w:fill="auto"/>
          </w:tcPr>
          <w:p w:rsidR="009D155D" w:rsidRPr="000730DF" w:rsidRDefault="009D155D" w:rsidP="00820538">
            <w:pPr>
              <w:jc w:val="both"/>
            </w:pPr>
            <w:r w:rsidRPr="000730DF">
              <w:t>=</w:t>
            </w:r>
          </w:p>
        </w:tc>
        <w:tc>
          <w:tcPr>
            <w:tcW w:w="4485" w:type="pct"/>
            <w:shd w:val="clear" w:color="auto" w:fill="auto"/>
          </w:tcPr>
          <w:p w:rsidR="009D155D" w:rsidRPr="009D155D" w:rsidRDefault="009D155D" w:rsidP="00496506">
            <w:pPr>
              <w:spacing w:line="276" w:lineRule="auto"/>
              <w:jc w:val="both"/>
              <w:rPr>
                <w:sz w:val="22"/>
                <w:szCs w:val="22"/>
                <w:lang w:val="id-ID"/>
              </w:rPr>
            </w:pPr>
            <w:r>
              <w:rPr>
                <w:sz w:val="22"/>
                <w:szCs w:val="22"/>
                <w:lang w:val="id-ID"/>
              </w:rPr>
              <w:t>T</w:t>
            </w:r>
            <w:r w:rsidRPr="009D155D">
              <w:rPr>
                <w:sz w:val="22"/>
                <w:szCs w:val="22"/>
                <w:lang w:val="id-ID"/>
              </w:rPr>
              <w:t xml:space="preserve">he </w:t>
            </w:r>
            <w:r w:rsidR="00496506">
              <w:rPr>
                <w:sz w:val="22"/>
                <w:szCs w:val="22"/>
                <w:lang w:val="id-ID"/>
              </w:rPr>
              <w:t>stakeholder</w:t>
            </w:r>
          </w:p>
        </w:tc>
      </w:tr>
      <w:tr w:rsidR="009D155D" w:rsidRPr="000730DF" w:rsidTr="009D155D">
        <w:trPr>
          <w:trHeight w:val="547"/>
        </w:trPr>
        <w:tc>
          <w:tcPr>
            <w:tcW w:w="328" w:type="pct"/>
            <w:shd w:val="clear" w:color="auto" w:fill="auto"/>
          </w:tcPr>
          <w:p w:rsidR="009D155D" w:rsidRPr="009D155D" w:rsidRDefault="009D155D" w:rsidP="00820538">
            <w:pPr>
              <w:rPr>
                <w:rFonts w:eastAsia="Calibri"/>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X</m:t>
                </m:r>
              </m:oMath>
            </m:oMathPara>
          </w:p>
        </w:tc>
        <w:tc>
          <w:tcPr>
            <w:tcW w:w="187" w:type="pct"/>
            <w:shd w:val="clear" w:color="auto" w:fill="auto"/>
          </w:tcPr>
          <w:p w:rsidR="009D155D" w:rsidRPr="000730DF" w:rsidRDefault="009D155D" w:rsidP="00820538">
            <w:pPr>
              <w:jc w:val="both"/>
            </w:pPr>
            <w:r w:rsidRPr="000730DF">
              <w:t xml:space="preserve">= </w:t>
            </w:r>
          </w:p>
        </w:tc>
        <w:tc>
          <w:tcPr>
            <w:tcW w:w="4485" w:type="pct"/>
            <w:shd w:val="clear" w:color="auto" w:fill="auto"/>
          </w:tcPr>
          <w:p w:rsidR="009D155D" w:rsidRPr="009D155D" w:rsidRDefault="009D155D" w:rsidP="00496506">
            <w:pPr>
              <w:spacing w:line="276" w:lineRule="auto"/>
              <w:jc w:val="both"/>
              <w:rPr>
                <w:sz w:val="22"/>
                <w:szCs w:val="22"/>
                <w:lang w:val="id-ID"/>
              </w:rPr>
            </w:pPr>
            <w:r>
              <w:rPr>
                <w:sz w:val="22"/>
                <w:szCs w:val="22"/>
                <w:lang w:val="id-ID"/>
              </w:rPr>
              <w:t>T</w:t>
            </w:r>
            <w:r w:rsidRPr="009D155D">
              <w:rPr>
                <w:sz w:val="22"/>
                <w:szCs w:val="22"/>
                <w:lang w:val="id-ID"/>
              </w:rPr>
              <w:t>he possibility of the i-component of the x-</w:t>
            </w:r>
            <w:r w:rsidR="00496506">
              <w:rPr>
                <w:sz w:val="22"/>
                <w:szCs w:val="22"/>
                <w:lang w:val="id-ID"/>
              </w:rPr>
              <w:t>stakeholder</w:t>
            </w:r>
          </w:p>
        </w:tc>
      </w:tr>
    </w:tbl>
    <w:p w:rsidR="009D155D" w:rsidRPr="009D155D" w:rsidRDefault="009D155D" w:rsidP="00260D2C">
      <w:pPr>
        <w:pStyle w:val="ListParagraph"/>
        <w:numPr>
          <w:ilvl w:val="1"/>
          <w:numId w:val="5"/>
        </w:numPr>
        <w:ind w:left="284" w:hanging="284"/>
        <w:rPr>
          <w:b/>
          <w:sz w:val="22"/>
          <w:szCs w:val="22"/>
          <w:lang w:val="id-ID"/>
        </w:rPr>
      </w:pPr>
      <w:r w:rsidRPr="009D155D">
        <w:rPr>
          <w:b/>
          <w:sz w:val="22"/>
          <w:szCs w:val="22"/>
          <w:lang w:val="id-ID"/>
        </w:rPr>
        <w:t>Supply Chain Risk Management of Whey Products</w:t>
      </w:r>
    </w:p>
    <w:p w:rsidR="00A601A9" w:rsidRPr="00A601A9" w:rsidRDefault="009D155D" w:rsidP="00260D2C">
      <w:pPr>
        <w:spacing w:line="276" w:lineRule="auto"/>
        <w:jc w:val="both"/>
        <w:rPr>
          <w:i/>
          <w:sz w:val="22"/>
          <w:szCs w:val="22"/>
          <w:lang w:val="id-ID"/>
        </w:rPr>
      </w:pPr>
      <w:r w:rsidRPr="00A601A9">
        <w:rPr>
          <w:i/>
          <w:sz w:val="22"/>
          <w:szCs w:val="22"/>
          <w:lang w:val="id-ID"/>
        </w:rPr>
        <w:t xml:space="preserve">Measuring the performance of actors from the supply chain of </w:t>
      </w:r>
      <w:r w:rsidR="00F85FE3" w:rsidRPr="00A601A9">
        <w:rPr>
          <w:i/>
          <w:sz w:val="22"/>
          <w:szCs w:val="22"/>
          <w:lang w:val="id-ID"/>
        </w:rPr>
        <w:t>dadih</w:t>
      </w:r>
      <w:r w:rsidRPr="00A601A9">
        <w:rPr>
          <w:i/>
          <w:sz w:val="22"/>
          <w:szCs w:val="22"/>
          <w:lang w:val="id-ID"/>
        </w:rPr>
        <w:t xml:space="preserve"> products </w:t>
      </w:r>
    </w:p>
    <w:p w:rsidR="009D155D" w:rsidRPr="009D155D" w:rsidRDefault="009D155D" w:rsidP="009D155D">
      <w:pPr>
        <w:spacing w:line="276" w:lineRule="auto"/>
        <w:ind w:firstLine="216"/>
        <w:jc w:val="both"/>
        <w:rPr>
          <w:sz w:val="22"/>
          <w:szCs w:val="22"/>
          <w:lang w:val="id-ID"/>
        </w:rPr>
      </w:pPr>
      <w:r w:rsidRPr="009D155D">
        <w:rPr>
          <w:sz w:val="22"/>
          <w:szCs w:val="22"/>
          <w:lang w:val="id-ID"/>
        </w:rPr>
        <w:t xml:space="preserve">According to </w:t>
      </w:r>
      <w:r w:rsidR="006F42E7">
        <w:rPr>
          <w:sz w:val="22"/>
          <w:szCs w:val="22"/>
          <w:lang w:val="id-ID"/>
        </w:rPr>
        <w:t>[1]</w:t>
      </w:r>
      <w:r w:rsidRPr="009D155D">
        <w:rPr>
          <w:sz w:val="22"/>
          <w:szCs w:val="22"/>
          <w:lang w:val="id-ID"/>
        </w:rPr>
        <w:t>, a performance measurement system is needed to: 1) monitor and control 2) communicate organizational goals to functions in the supply chain; 3) know where the position of an organization is relative to competitors and to the objectives to be</w:t>
      </w:r>
      <w:r w:rsidR="00A601A9">
        <w:rPr>
          <w:sz w:val="22"/>
          <w:szCs w:val="22"/>
          <w:lang w:val="id-ID"/>
        </w:rPr>
        <w:t xml:space="preserve"> achieved; and 4</w:t>
      </w:r>
      <w:r w:rsidRPr="009D155D">
        <w:rPr>
          <w:sz w:val="22"/>
          <w:szCs w:val="22"/>
          <w:lang w:val="id-ID"/>
        </w:rPr>
        <w:t>) determine the direction of improvement to create competitive advantage.</w:t>
      </w:r>
    </w:p>
    <w:p w:rsidR="009D155D" w:rsidRPr="009D155D" w:rsidRDefault="009D155D" w:rsidP="009D155D">
      <w:pPr>
        <w:spacing w:line="276" w:lineRule="auto"/>
        <w:ind w:firstLine="216"/>
        <w:jc w:val="both"/>
        <w:rPr>
          <w:sz w:val="22"/>
          <w:szCs w:val="22"/>
          <w:lang w:val="id-ID"/>
        </w:rPr>
      </w:pPr>
      <w:r w:rsidRPr="009D155D">
        <w:rPr>
          <w:sz w:val="22"/>
          <w:szCs w:val="22"/>
          <w:lang w:val="id-ID"/>
        </w:rPr>
        <w:t>Measurement of performance of supply chain actors is done using Data Envelopment Analysis (DEA) method approach. DEA method is assigned as a tool in determining supply chain performance due to several factors ie</w:t>
      </w:r>
      <w:r>
        <w:rPr>
          <w:sz w:val="22"/>
          <w:szCs w:val="22"/>
          <w:lang w:val="id-ID"/>
        </w:rPr>
        <w:t>:</w:t>
      </w:r>
    </w:p>
    <w:p w:rsidR="00260D2C" w:rsidRPr="00260D2C" w:rsidRDefault="009D155D" w:rsidP="00260D2C">
      <w:pPr>
        <w:pStyle w:val="ListParagraph"/>
        <w:numPr>
          <w:ilvl w:val="0"/>
          <w:numId w:val="6"/>
        </w:numPr>
        <w:spacing w:line="276" w:lineRule="auto"/>
        <w:ind w:left="284" w:hanging="284"/>
        <w:jc w:val="both"/>
        <w:rPr>
          <w:sz w:val="22"/>
          <w:szCs w:val="22"/>
          <w:lang w:val="id-ID"/>
        </w:rPr>
      </w:pPr>
      <w:r w:rsidRPr="00260D2C">
        <w:rPr>
          <w:sz w:val="22"/>
          <w:szCs w:val="22"/>
          <w:lang w:val="id-ID"/>
        </w:rPr>
        <w:t>DEA able to work simultaneously and continuously through Benchmarking process to get efficiency va</w:t>
      </w:r>
      <w:r w:rsidR="00260D2C" w:rsidRPr="00260D2C">
        <w:rPr>
          <w:sz w:val="22"/>
          <w:szCs w:val="22"/>
          <w:lang w:val="id-ID"/>
        </w:rPr>
        <w:t>lue of each supply chain actor.</w:t>
      </w:r>
    </w:p>
    <w:p w:rsidR="00260D2C" w:rsidRDefault="009D155D" w:rsidP="00260D2C">
      <w:pPr>
        <w:pStyle w:val="ListParagraph"/>
        <w:numPr>
          <w:ilvl w:val="0"/>
          <w:numId w:val="6"/>
        </w:numPr>
        <w:spacing w:line="276" w:lineRule="auto"/>
        <w:ind w:left="284" w:hanging="284"/>
        <w:jc w:val="both"/>
        <w:rPr>
          <w:sz w:val="22"/>
          <w:szCs w:val="22"/>
          <w:lang w:val="id-ID"/>
        </w:rPr>
      </w:pPr>
      <w:r w:rsidRPr="00260D2C">
        <w:rPr>
          <w:sz w:val="22"/>
          <w:szCs w:val="22"/>
          <w:lang w:val="id-ID"/>
        </w:rPr>
        <w:t xml:space="preserve">Selection of performance parameters within the risk distribution model aims to obtain output in the form of increased profit of supply chain actors who work competitively when applied. DEA </w:t>
      </w:r>
      <w:r w:rsidRPr="00260D2C">
        <w:rPr>
          <w:sz w:val="22"/>
          <w:szCs w:val="22"/>
          <w:lang w:val="id-ID"/>
        </w:rPr>
        <w:lastRenderedPageBreak/>
        <w:t>as a performance measurement method can accommodate one of the objectives of this model so that there is no limit to increase the value of efficiency variables between one actor with another.</w:t>
      </w:r>
    </w:p>
    <w:p w:rsidR="009D155D" w:rsidRPr="00260D2C" w:rsidRDefault="009D155D" w:rsidP="00260D2C">
      <w:pPr>
        <w:pStyle w:val="ListParagraph"/>
        <w:numPr>
          <w:ilvl w:val="0"/>
          <w:numId w:val="6"/>
        </w:numPr>
        <w:spacing w:line="276" w:lineRule="auto"/>
        <w:ind w:left="284" w:hanging="284"/>
        <w:jc w:val="both"/>
        <w:rPr>
          <w:sz w:val="22"/>
          <w:szCs w:val="22"/>
          <w:lang w:val="id-ID"/>
        </w:rPr>
      </w:pPr>
      <w:r w:rsidRPr="00260D2C">
        <w:rPr>
          <w:sz w:val="22"/>
          <w:szCs w:val="22"/>
          <w:lang w:val="id-ID"/>
        </w:rPr>
        <w:t>The working principle of DEA that is simultaneous and sustainable can increase the total profit of supply chain actors as a whole, specifically to the actors who will distribute advantage due to the implementation of the model.</w:t>
      </w:r>
    </w:p>
    <w:p w:rsidR="009D155D" w:rsidRDefault="009D155D" w:rsidP="00260D2C">
      <w:pPr>
        <w:spacing w:line="276" w:lineRule="auto"/>
        <w:ind w:firstLine="284"/>
        <w:jc w:val="both"/>
        <w:rPr>
          <w:sz w:val="22"/>
          <w:szCs w:val="22"/>
          <w:lang w:val="id-ID"/>
        </w:rPr>
      </w:pPr>
      <w:r w:rsidRPr="009D155D">
        <w:rPr>
          <w:sz w:val="22"/>
          <w:szCs w:val="22"/>
          <w:lang w:val="id-ID"/>
        </w:rPr>
        <w:t>The determination of the efficiency value of the Decision-Making Unit (DMU) of each unit in measurement (</w:t>
      </w:r>
      <m:oMath>
        <m:sSub>
          <m:sSubPr>
            <m:ctrlPr>
              <w:rPr>
                <w:rFonts w:ascii="Cambria Math" w:hAnsi="Cambria Math"/>
                <w:i/>
                <w:sz w:val="24"/>
                <w:szCs w:val="24"/>
              </w:rPr>
            </m:ctrlPr>
          </m:sSubPr>
          <m:e>
            <m:r>
              <w:rPr>
                <w:rFonts w:ascii="Cambria Math" w:hAnsi="Cambria Math"/>
              </w:rPr>
              <m:t>θ</m:t>
            </m:r>
          </m:e>
          <m:sub>
            <m:r>
              <w:rPr>
                <w:rFonts w:ascii="Cambria Math" w:hAnsi="Cambria Math"/>
              </w:rPr>
              <m:t>i</m:t>
            </m:r>
          </m:sub>
        </m:sSub>
      </m:oMath>
      <w:r w:rsidRPr="009D155D">
        <w:rPr>
          <w:sz w:val="22"/>
          <w:szCs w:val="22"/>
          <w:lang w:val="id-ID"/>
        </w:rPr>
        <w:t>) in performing operational activities is determined from the ratio of inputs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ij</m:t>
            </m:r>
          </m:sub>
        </m:sSub>
        <m:r>
          <w:rPr>
            <w:rFonts w:ascii="Cambria Math" w:hAnsi="Cambria Math"/>
            <w:sz w:val="24"/>
            <w:szCs w:val="24"/>
          </w:rPr>
          <m:t>)</m:t>
        </m:r>
      </m:oMath>
      <w:r w:rsidRPr="000730DF">
        <w:t xml:space="preserve"> </w:t>
      </w:r>
      <w:r w:rsidRPr="009D155D">
        <w:rPr>
          <w:sz w:val="22"/>
          <w:szCs w:val="22"/>
          <w:lang w:val="id-ID"/>
        </w:rPr>
        <w:t>and outputs</w:t>
      </w:r>
      <w:r>
        <w:rPr>
          <w:sz w:val="22"/>
          <w:szCs w:val="22"/>
          <w:lang w:val="id-ID"/>
        </w:rPr>
        <w:t xml:space="preserve"> </w:t>
      </w:r>
      <w:r w:rsidRPr="000730DF">
        <w:t>(</w:t>
      </w: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ij</m:t>
            </m:r>
          </m:sub>
        </m:sSub>
        <m:r>
          <w:rPr>
            <w:rFonts w:ascii="Cambria Math" w:hAnsi="Cambria Math"/>
            <w:sz w:val="24"/>
            <w:szCs w:val="24"/>
          </w:rPr>
          <m:t>)</m:t>
        </m:r>
      </m:oMath>
      <w:r w:rsidRPr="009D155D">
        <w:rPr>
          <w:sz w:val="22"/>
          <w:szCs w:val="22"/>
          <w:lang w:val="id-ID"/>
        </w:rPr>
        <w:t xml:space="preserve"> when compared to other DMUs The efficiency value of a unit of measurement depends on the output and input value and weight of the value the output variable </w:t>
      </w:r>
      <w:r w:rsidRPr="000730DF">
        <w:t>(</w:t>
      </w:r>
      <m:oMath>
        <m:sSub>
          <m:sSubPr>
            <m:ctrlPr>
              <w:rPr>
                <w:rFonts w:ascii="Cambria Math" w:hAnsi="Cambria Math"/>
                <w:i/>
                <w:sz w:val="24"/>
                <w:szCs w:val="24"/>
              </w:rPr>
            </m:ctrlPr>
          </m:sSubPr>
          <m:e>
            <m:r>
              <w:rPr>
                <w:rFonts w:ascii="Cambria Math" w:hAnsi="Cambria Math"/>
              </w:rPr>
              <m:t>w</m:t>
            </m:r>
          </m:e>
          <m:sub>
            <m:r>
              <w:rPr>
                <w:rFonts w:ascii="Cambria Math" w:hAnsi="Cambria Math"/>
              </w:rPr>
              <m:t>ij</m:t>
            </m:r>
          </m:sub>
        </m:sSub>
      </m:oMath>
      <w:r w:rsidRPr="000730DF">
        <w:t>)</w:t>
      </w:r>
      <w:r w:rsidRPr="009D155D">
        <w:rPr>
          <w:sz w:val="22"/>
          <w:szCs w:val="22"/>
          <w:lang w:val="id-ID"/>
        </w:rPr>
        <w:t xml:space="preserve"> and the importance of the input variable </w:t>
      </w:r>
      <w:r w:rsidRPr="000730DF">
        <w:t>(</w:t>
      </w:r>
      <m:oMath>
        <m:sSub>
          <m:sSubPr>
            <m:ctrlPr>
              <w:rPr>
                <w:rFonts w:ascii="Cambria Math" w:hAnsi="Cambria Math"/>
                <w:i/>
                <w:sz w:val="24"/>
                <w:szCs w:val="24"/>
              </w:rPr>
            </m:ctrlPr>
          </m:sSubPr>
          <m:e>
            <m:r>
              <w:rPr>
                <w:rFonts w:ascii="Cambria Math" w:hAnsi="Cambria Math"/>
              </w:rPr>
              <m:t>v</m:t>
            </m:r>
          </m:e>
          <m:sub>
            <m:r>
              <w:rPr>
                <w:rFonts w:ascii="Cambria Math" w:hAnsi="Cambria Math"/>
              </w:rPr>
              <m:t>ij</m:t>
            </m:r>
          </m:sub>
        </m:sSub>
      </m:oMath>
      <w:r w:rsidRPr="000730DF">
        <w:t>)</w:t>
      </w:r>
      <w:r>
        <w:rPr>
          <w:lang w:val="id-ID"/>
        </w:rPr>
        <w:t xml:space="preserve"> </w:t>
      </w:r>
      <w:r w:rsidRPr="009D155D">
        <w:rPr>
          <w:sz w:val="22"/>
          <w:szCs w:val="22"/>
          <w:lang w:val="id-ID"/>
        </w:rPr>
        <w:t>of DMU</w:t>
      </w:r>
      <w:r w:rsidR="00A601A9">
        <w:rPr>
          <w:sz w:val="22"/>
          <w:szCs w:val="22"/>
          <w:lang w:val="id-ID"/>
        </w:rPr>
        <w:t>.</w:t>
      </w:r>
      <w:r w:rsidRPr="009D155D">
        <w:rPr>
          <w:sz w:val="22"/>
          <w:szCs w:val="22"/>
          <w:lang w:val="id-ID"/>
        </w:rPr>
        <w:t xml:space="preserve"> The following formulation of the DEA is shown as follows:</w:t>
      </w:r>
    </w:p>
    <w:p w:rsidR="009D155D" w:rsidRDefault="009D155D" w:rsidP="00260D2C">
      <w:pPr>
        <w:spacing w:line="276" w:lineRule="auto"/>
        <w:ind w:firstLine="216"/>
        <w:jc w:val="right"/>
        <w:rPr>
          <w:sz w:val="24"/>
          <w:szCs w:val="24"/>
          <w:lang w:val="id-ID"/>
        </w:rPr>
      </w:pP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j</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j=1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up>
              <m:e>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e>
            </m:nary>
          </m:num>
          <m:den>
            <m:nary>
              <m:naryPr>
                <m:chr m:val="∑"/>
                <m:limLoc m:val="undOvr"/>
                <m:ctrlPr>
                  <w:rPr>
                    <w:rFonts w:ascii="Cambria Math" w:hAnsi="Cambria Math"/>
                    <w:i/>
                    <w:sz w:val="24"/>
                    <w:szCs w:val="24"/>
                  </w:rPr>
                </m:ctrlPr>
              </m:naryPr>
              <m:sub>
                <m:r>
                  <w:rPr>
                    <w:rFonts w:ascii="Cambria Math" w:hAnsi="Cambria Math"/>
                    <w:sz w:val="24"/>
                    <w:szCs w:val="24"/>
                  </w:rPr>
                  <m:t>j=1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e>
            </m:nary>
          </m:den>
        </m:f>
      </m:oMath>
      <w:r>
        <w:rPr>
          <w:sz w:val="24"/>
          <w:szCs w:val="24"/>
          <w:lang w:val="id-ID"/>
        </w:rPr>
        <w:t xml:space="preserve"> </w:t>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sidR="00260D2C">
        <w:rPr>
          <w:sz w:val="24"/>
          <w:szCs w:val="24"/>
          <w:lang w:val="id-ID"/>
        </w:rPr>
        <w:tab/>
      </w:r>
      <w:r>
        <w:rPr>
          <w:sz w:val="24"/>
          <w:szCs w:val="24"/>
          <w:lang w:val="id-ID"/>
        </w:rPr>
        <w:t xml:space="preserve"> (3)</w:t>
      </w:r>
    </w:p>
    <w:p w:rsidR="009D155D" w:rsidRPr="009D155D" w:rsidRDefault="009D155D" w:rsidP="009D155D">
      <w:pPr>
        <w:spacing w:line="276" w:lineRule="auto"/>
        <w:ind w:firstLine="216"/>
        <w:jc w:val="both"/>
        <w:rPr>
          <w:sz w:val="22"/>
          <w:szCs w:val="22"/>
          <w:lang w:val="id-ID"/>
        </w:rPr>
      </w:pPr>
      <w:r w:rsidRPr="009D155D">
        <w:rPr>
          <w:sz w:val="22"/>
          <w:szCs w:val="22"/>
          <w:lang w:val="id-ID"/>
        </w:rPr>
        <w:t>At each measurement process, the unit can not determine the weight against itself which will cause the efficiency of other units including the unit exceeds 100%. It is impossible for each unit to achieve an efficiency of more than 100% based on the weighting of each unit's measurements. Therefore, each unit of measurement resulting in an accumulation of multiplied weights with output should not exceed rather than the accumulation of multiplication of weights with inputs. The formulation can be seen in the equation:</w:t>
      </w:r>
    </w:p>
    <w:p w:rsidR="00F7046F" w:rsidRDefault="00F7046F" w:rsidP="00F7046F">
      <w:pPr>
        <w:pStyle w:val="IJASEITParagraph"/>
        <w:spacing w:line="276" w:lineRule="auto"/>
        <w:rPr>
          <w:sz w:val="22"/>
          <w:szCs w:val="22"/>
          <w:lang w:val="id-ID"/>
        </w:rPr>
      </w:pPr>
      <w:r w:rsidRPr="00E12325">
        <w:rPr>
          <w:sz w:val="22"/>
          <w:szCs w:val="22"/>
          <w:lang w:val="id-ID"/>
        </w:rPr>
        <w:t xml:space="preserve">The </w:t>
      </w:r>
      <w:r w:rsidRPr="00E12325">
        <w:rPr>
          <w:rFonts w:hint="eastAsia"/>
          <w:sz w:val="22"/>
          <w:szCs w:val="22"/>
        </w:rPr>
        <w:t>equations are presented as illustration</w:t>
      </w:r>
      <w:r w:rsidRPr="00E12325">
        <w:rPr>
          <w:rFonts w:hint="eastAsia"/>
          <w:color w:val="000000"/>
          <w:sz w:val="22"/>
          <w:szCs w:val="22"/>
        </w:rPr>
        <w:t>.</w:t>
      </w:r>
      <w:r w:rsidRPr="00E12325">
        <w:rPr>
          <w:color w:val="000000"/>
          <w:sz w:val="22"/>
          <w:szCs w:val="22"/>
          <w:lang w:val="id-ID"/>
        </w:rPr>
        <w:t xml:space="preserve"> </w:t>
      </w:r>
      <w:r w:rsidRPr="00E12325">
        <w:rPr>
          <w:sz w:val="22"/>
          <w:szCs w:val="22"/>
        </w:rPr>
        <w:t xml:space="preserve">Equations are </w:t>
      </w:r>
      <w:r w:rsidRPr="00E12325">
        <w:rPr>
          <w:sz w:val="22"/>
          <w:szCs w:val="22"/>
          <w:lang w:val="en-US"/>
        </w:rPr>
        <w:t>centered</w:t>
      </w:r>
      <w:r w:rsidRPr="00E12325">
        <w:rPr>
          <w:sz w:val="22"/>
          <w:szCs w:val="22"/>
        </w:rPr>
        <w:t xml:space="preserve"> and numbered consecutively starting from 1 as follows</w:t>
      </w:r>
      <w:r w:rsidR="009D155D">
        <w:rPr>
          <w:sz w:val="22"/>
          <w:szCs w:val="22"/>
          <w:lang w:val="id-ID"/>
        </w:rPr>
        <w:t>:</w:t>
      </w:r>
    </w:p>
    <w:p w:rsidR="009D155D" w:rsidRDefault="009D155D" w:rsidP="00260D2C">
      <w:pPr>
        <w:pStyle w:val="IJASEITParagraph"/>
        <w:spacing w:line="276" w:lineRule="auto"/>
        <w:jc w:val="right"/>
        <w:rPr>
          <w:sz w:val="24"/>
          <w:lang w:val="id-ID"/>
        </w:rPr>
      </w:pPr>
      <m:oMath>
        <m:nary>
          <m:naryPr>
            <m:chr m:val="∑"/>
            <m:limLoc m:val="undOvr"/>
            <m:ctrlPr>
              <w:rPr>
                <w:rFonts w:ascii="Cambria Math" w:hAnsi="Cambria Math"/>
                <w:i/>
                <w:sz w:val="24"/>
              </w:rPr>
            </m:ctrlPr>
          </m:naryPr>
          <m:sub>
            <m:r>
              <w:rPr>
                <w:rFonts w:ascii="Cambria Math" w:hAnsi="Cambria Math"/>
                <w:sz w:val="24"/>
              </w:rPr>
              <m:t>j=1</m:t>
            </m:r>
          </m:sub>
          <m:sup>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sup>
          <m:e>
            <m:sSub>
              <m:sSubPr>
                <m:ctrlPr>
                  <w:rPr>
                    <w:rFonts w:ascii="Cambria Math" w:hAnsi="Cambria Math"/>
                    <w:i/>
                    <w:sz w:val="24"/>
                  </w:rPr>
                </m:ctrlPr>
              </m:sSubPr>
              <m:e>
                <m:r>
                  <w:rPr>
                    <w:rFonts w:ascii="Cambria Math" w:hAnsi="Cambria Math"/>
                    <w:sz w:val="24"/>
                  </w:rPr>
                  <m:t>O</m:t>
                </m:r>
              </m:e>
              <m:sub>
                <m:r>
                  <w:rPr>
                    <w:rFonts w:ascii="Cambria Math" w:hAnsi="Cambria Math"/>
                    <w:sz w:val="24"/>
                  </w:rPr>
                  <m:t>ij</m:t>
                </m:r>
              </m:sub>
            </m:sSub>
            <m:sSub>
              <m:sSubPr>
                <m:ctrlPr>
                  <w:rPr>
                    <w:rFonts w:ascii="Cambria Math" w:hAnsi="Cambria Math"/>
                    <w:i/>
                    <w:sz w:val="24"/>
                  </w:rPr>
                </m:ctrlPr>
              </m:sSubPr>
              <m:e>
                <m:r>
                  <w:rPr>
                    <w:rFonts w:ascii="Cambria Math" w:hAnsi="Cambria Math"/>
                    <w:sz w:val="24"/>
                  </w:rPr>
                  <m:t>w</m:t>
                </m:r>
              </m:e>
              <m:sub>
                <m:r>
                  <w:rPr>
                    <w:rFonts w:ascii="Cambria Math" w:hAnsi="Cambria Math"/>
                    <w:sz w:val="24"/>
                  </w:rPr>
                  <m:t>ij</m:t>
                </m:r>
              </m:sub>
            </m:sSub>
          </m:e>
        </m:nary>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j=1</m:t>
            </m:r>
          </m:sub>
          <m:sup>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sup>
          <m:e>
            <m:sSub>
              <m:sSubPr>
                <m:ctrlPr>
                  <w:rPr>
                    <w:rFonts w:ascii="Cambria Math" w:hAnsi="Cambria Math"/>
                    <w:i/>
                    <w:sz w:val="24"/>
                  </w:rPr>
                </m:ctrlPr>
              </m:sSubPr>
              <m:e>
                <m:r>
                  <w:rPr>
                    <w:rFonts w:ascii="Cambria Math" w:hAnsi="Cambria Math"/>
                    <w:sz w:val="24"/>
                  </w:rPr>
                  <m:t>I</m:t>
                </m:r>
              </m:e>
              <m:sub>
                <m:r>
                  <w:rPr>
                    <w:rFonts w:ascii="Cambria Math" w:hAnsi="Cambria Math"/>
                    <w:sz w:val="24"/>
                  </w:rPr>
                  <m:t>ij</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ij</m:t>
                </m:r>
              </m:sub>
            </m:sSub>
          </m:e>
        </m:nary>
      </m:oMath>
      <w:r>
        <w:rPr>
          <w:sz w:val="24"/>
          <w:lang w:val="id-ID"/>
        </w:rPr>
        <w:t xml:space="preserve"> </w:t>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Pr>
          <w:sz w:val="24"/>
          <w:lang w:val="id-ID"/>
        </w:rPr>
        <w:t>(4)</w:t>
      </w:r>
    </w:p>
    <w:p w:rsidR="009D155D" w:rsidRDefault="009D155D" w:rsidP="009D155D">
      <w:pPr>
        <w:pStyle w:val="IJASEITParagraph"/>
        <w:spacing w:line="276" w:lineRule="auto"/>
        <w:rPr>
          <w:sz w:val="22"/>
          <w:szCs w:val="22"/>
          <w:lang w:val="id-ID"/>
        </w:rPr>
      </w:pPr>
      <w:r w:rsidRPr="009D155D">
        <w:rPr>
          <w:sz w:val="22"/>
          <w:szCs w:val="22"/>
          <w:lang w:val="id-ID"/>
        </w:rPr>
        <w:t>To prevent the solution beyond the desired limit the cumulative multiplication weights with the input of the unit of measurement equals 1 according to the equation:</w:t>
      </w:r>
    </w:p>
    <w:p w:rsidR="009D155D" w:rsidRPr="005A3E80" w:rsidRDefault="009D155D" w:rsidP="00260D2C">
      <w:pPr>
        <w:pStyle w:val="IJASEITParagraph"/>
        <w:spacing w:line="276" w:lineRule="auto"/>
        <w:jc w:val="right"/>
        <w:rPr>
          <w:sz w:val="22"/>
          <w:szCs w:val="22"/>
          <w:lang w:val="id-ID"/>
        </w:rPr>
      </w:pPr>
      <m:oMath>
        <m:nary>
          <m:naryPr>
            <m:chr m:val="∑"/>
            <m:limLoc m:val="undOvr"/>
            <m:ctrlPr>
              <w:rPr>
                <w:rFonts w:ascii="Cambria Math" w:hAnsi="Cambria Math"/>
                <w:i/>
                <w:sz w:val="24"/>
              </w:rPr>
            </m:ctrlPr>
          </m:naryPr>
          <m:sub>
            <m:r>
              <w:rPr>
                <w:rFonts w:ascii="Cambria Math" w:hAnsi="Cambria Math"/>
                <w:sz w:val="24"/>
              </w:rPr>
              <m:t>j=1</m:t>
            </m:r>
          </m:sub>
          <m:sup>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sup>
          <m:e>
            <m:sSub>
              <m:sSubPr>
                <m:ctrlPr>
                  <w:rPr>
                    <w:rFonts w:ascii="Cambria Math" w:hAnsi="Cambria Math"/>
                    <w:i/>
                    <w:sz w:val="24"/>
                  </w:rPr>
                </m:ctrlPr>
              </m:sSubPr>
              <m:e>
                <m:r>
                  <w:rPr>
                    <w:rFonts w:ascii="Cambria Math" w:hAnsi="Cambria Math"/>
                    <w:sz w:val="24"/>
                  </w:rPr>
                  <m:t>I</m:t>
                </m:r>
              </m:e>
              <m:sub>
                <m:r>
                  <w:rPr>
                    <w:rFonts w:ascii="Cambria Math" w:hAnsi="Cambria Math"/>
                    <w:sz w:val="24"/>
                  </w:rPr>
                  <m:t>ij</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ij</m:t>
                </m:r>
              </m:sub>
            </m:sSub>
          </m:e>
        </m:nary>
        <m:r>
          <w:rPr>
            <w:rFonts w:ascii="Cambria Math" w:hAnsi="Cambria Math"/>
            <w:sz w:val="24"/>
          </w:rPr>
          <m:t>=1</m:t>
        </m:r>
      </m:oMath>
      <w:r w:rsidR="005A3E80">
        <w:rPr>
          <w:sz w:val="24"/>
          <w:lang w:val="id-ID"/>
        </w:rPr>
        <w:t xml:space="preserve"> </w:t>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260D2C">
        <w:rPr>
          <w:sz w:val="24"/>
          <w:lang w:val="id-ID"/>
        </w:rPr>
        <w:tab/>
      </w:r>
      <w:r w:rsidR="005A3E80">
        <w:rPr>
          <w:sz w:val="24"/>
          <w:lang w:val="id-ID"/>
        </w:rPr>
        <w:t>(5)</w:t>
      </w:r>
    </w:p>
    <w:p w:rsidR="009D155D" w:rsidRPr="008D4A4F" w:rsidRDefault="009D155D" w:rsidP="009D155D">
      <w:pPr>
        <w:ind w:firstLine="426"/>
        <w:jc w:val="both"/>
      </w:pPr>
      <w:r w:rsidRPr="008D4A4F">
        <w:t>DEA Objective function:</w:t>
      </w:r>
      <w:r w:rsidRPr="008D4A4F">
        <w:tab/>
      </w:r>
    </w:p>
    <w:p w:rsidR="009D155D" w:rsidRPr="000A2933" w:rsidRDefault="009D155D" w:rsidP="00260D2C">
      <w:pPr>
        <w:pStyle w:val="MTDisplayEquation"/>
        <w:tabs>
          <w:tab w:val="clear" w:pos="2440"/>
          <w:tab w:val="clear" w:pos="4860"/>
          <w:tab w:val="center" w:pos="0"/>
        </w:tabs>
        <w:ind w:firstLine="0"/>
        <w:jc w:val="right"/>
        <w:rPr>
          <w:lang w:val="id-ID"/>
        </w:rPr>
      </w:pPr>
      <w:r w:rsidRPr="008D4A4F">
        <w:rPr>
          <w:position w:val="-30"/>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pt" o:ole="">
            <v:imagedata r:id="rId8" o:title=""/>
          </v:shape>
          <o:OLEObject Type="Embed" ProgID="Equation.DSMT4" ShapeID="_x0000_i1025" DrawAspect="Content" ObjectID="_1583001080" r:id="rId9"/>
        </w:object>
      </w:r>
      <w:r w:rsidR="005A3E80">
        <w:rPr>
          <w:lang w:val="id-ID"/>
        </w:rPr>
        <w:t xml:space="preserve"> </w:t>
      </w:r>
      <w:r w:rsidR="005A3E80">
        <w:rPr>
          <w:lang w:val="id-ID"/>
        </w:rPr>
        <w:tab/>
      </w:r>
      <w:r w:rsidR="005A3E80">
        <w:rPr>
          <w:lang w:val="id-ID"/>
        </w:rPr>
        <w:tab/>
      </w:r>
      <w:r w:rsidR="005A3E80">
        <w:rPr>
          <w:lang w:val="id-ID"/>
        </w:rPr>
        <w:tab/>
      </w:r>
      <w:r w:rsidR="00260D2C">
        <w:rPr>
          <w:lang w:val="id-ID"/>
        </w:rPr>
        <w:tab/>
      </w:r>
      <w:r w:rsidR="00260D2C">
        <w:rPr>
          <w:lang w:val="id-ID"/>
        </w:rPr>
        <w:tab/>
      </w:r>
      <w:r w:rsidR="00260D2C">
        <w:rPr>
          <w:lang w:val="id-ID"/>
        </w:rPr>
        <w:tab/>
      </w:r>
      <w:r w:rsidR="00260D2C">
        <w:rPr>
          <w:lang w:val="id-ID"/>
        </w:rPr>
        <w:tab/>
      </w:r>
      <w:r w:rsidR="00260D2C">
        <w:rPr>
          <w:lang w:val="id-ID"/>
        </w:rPr>
        <w:tab/>
      </w:r>
      <w:r w:rsidR="00260D2C">
        <w:rPr>
          <w:lang w:val="id-ID"/>
        </w:rPr>
        <w:tab/>
      </w:r>
      <w:r w:rsidR="00260D2C">
        <w:rPr>
          <w:lang w:val="id-ID"/>
        </w:rPr>
        <w:tab/>
      </w:r>
      <w:r w:rsidR="005A3E80">
        <w:rPr>
          <w:lang w:val="id-ID"/>
        </w:rPr>
        <w:tab/>
      </w:r>
      <w:r>
        <w:rPr>
          <w:lang w:val="id-ID"/>
        </w:rPr>
        <w:t>(6)</w:t>
      </w:r>
      <w:r w:rsidR="005A3E80">
        <w:rPr>
          <w:lang w:val="id-ID"/>
        </w:rPr>
        <w:t xml:space="preserve"> </w:t>
      </w:r>
    </w:p>
    <w:p w:rsidR="009D155D" w:rsidRPr="008D4A4F" w:rsidRDefault="009D155D" w:rsidP="009D155D">
      <w:pPr>
        <w:ind w:firstLine="426"/>
      </w:pPr>
      <w:r w:rsidRPr="008D4A4F">
        <w:t>Subject to:</w:t>
      </w:r>
    </w:p>
    <w:p w:rsidR="009D155D" w:rsidRPr="008D4A4F" w:rsidRDefault="009D155D" w:rsidP="009D155D">
      <w:pPr>
        <w:pStyle w:val="MTDisplayEquation"/>
      </w:pPr>
      <w:r w:rsidRPr="008D4A4F">
        <w:tab/>
      </w:r>
    </w:p>
    <w:p w:rsidR="009D155D" w:rsidRPr="000A2933" w:rsidRDefault="009D155D" w:rsidP="00260D2C">
      <w:pPr>
        <w:pStyle w:val="MTDisplayEquation"/>
        <w:ind w:firstLine="0"/>
        <w:jc w:val="right"/>
        <w:rPr>
          <w:lang w:val="id-ID"/>
        </w:rPr>
      </w:pPr>
      <w:r w:rsidRPr="008D4A4F">
        <w:rPr>
          <w:position w:val="-30"/>
        </w:rPr>
        <w:object w:dxaOrig="2280" w:dyaOrig="780">
          <v:shape id="_x0000_i1026" type="#_x0000_t75" style="width:99.75pt;height:35.25pt" o:ole="">
            <v:imagedata r:id="rId10" o:title=""/>
          </v:shape>
          <o:OLEObject Type="Embed" ProgID="Equation.DSMT4" ShapeID="_x0000_i1026" DrawAspect="Content" ObjectID="_1583001081" r:id="rId11"/>
        </w:object>
      </w:r>
      <w:r w:rsidR="005A3E80">
        <w:tab/>
      </w:r>
      <w:r w:rsidR="00260D2C">
        <w:tab/>
      </w:r>
      <w:r w:rsidR="00260D2C">
        <w:tab/>
      </w:r>
      <w:r>
        <w:rPr>
          <w:lang w:val="id-ID"/>
        </w:rPr>
        <w:t>(7)</w:t>
      </w:r>
    </w:p>
    <w:p w:rsidR="009D155D" w:rsidRPr="000A2933" w:rsidRDefault="009D155D" w:rsidP="00260D2C">
      <w:pPr>
        <w:pStyle w:val="MTDisplayEquation"/>
        <w:ind w:firstLine="0"/>
        <w:jc w:val="right"/>
        <w:rPr>
          <w:lang w:val="id-ID"/>
        </w:rPr>
      </w:pPr>
      <w:r w:rsidRPr="008D4A4F">
        <w:rPr>
          <w:position w:val="-30"/>
        </w:rPr>
        <w:object w:dxaOrig="1080" w:dyaOrig="780">
          <v:shape id="_x0000_i1027" type="#_x0000_t75" style="width:44.25pt;height:32.25pt" o:ole="">
            <v:imagedata r:id="rId12" o:title=""/>
          </v:shape>
          <o:OLEObject Type="Embed" ProgID="Equation.DSMT4" ShapeID="_x0000_i1027" DrawAspect="Content" ObjectID="_1583001082" r:id="rId13"/>
        </w:object>
      </w:r>
      <w:r>
        <w:tab/>
      </w:r>
      <w:r w:rsidR="00260D2C">
        <w:tab/>
      </w:r>
      <w:r>
        <w:rPr>
          <w:lang w:val="id-ID"/>
        </w:rPr>
        <w:t xml:space="preserve"> (8)</w:t>
      </w:r>
    </w:p>
    <w:p w:rsidR="009D155D" w:rsidRPr="000A2933" w:rsidRDefault="009D155D" w:rsidP="00260D2C">
      <w:pPr>
        <w:pStyle w:val="MTDisplayEquation"/>
        <w:ind w:firstLine="0"/>
        <w:jc w:val="right"/>
        <w:rPr>
          <w:lang w:val="id-ID"/>
        </w:rPr>
      </w:pPr>
      <w:r w:rsidRPr="008D4A4F">
        <w:rPr>
          <w:position w:val="-18"/>
        </w:rPr>
        <w:object w:dxaOrig="1160" w:dyaOrig="440">
          <v:shape id="_x0000_i1028" type="#_x0000_t75" style="width:54pt;height:20.25pt" o:ole="">
            <v:imagedata r:id="rId14" o:title=""/>
          </v:shape>
          <o:OLEObject Type="Embed" ProgID="Equation.DSMT4" ShapeID="_x0000_i1028" DrawAspect="Content" ObjectID="_1583001083" r:id="rId15"/>
        </w:object>
      </w:r>
      <w:r>
        <w:rPr>
          <w:lang w:val="id-ID"/>
        </w:rPr>
        <w:t xml:space="preserve"> </w:t>
      </w:r>
      <w:r>
        <w:rPr>
          <w:lang w:val="id-ID"/>
        </w:rPr>
        <w:tab/>
      </w:r>
      <w:r w:rsidR="00260D2C">
        <w:rPr>
          <w:lang w:val="id-ID"/>
        </w:rPr>
        <w:tab/>
      </w:r>
      <w:r>
        <w:rPr>
          <w:lang w:val="id-ID"/>
        </w:rPr>
        <w:t>(9)</w:t>
      </w:r>
    </w:p>
    <w:p w:rsidR="00DB7151" w:rsidRPr="00A601A9" w:rsidRDefault="00DB7151" w:rsidP="00DB7151">
      <w:pPr>
        <w:pStyle w:val="IJASEITParagraph"/>
        <w:spacing w:line="276" w:lineRule="auto"/>
        <w:ind w:firstLine="0"/>
        <w:rPr>
          <w:i/>
          <w:color w:val="000000" w:themeColor="text1"/>
          <w:sz w:val="22"/>
          <w:szCs w:val="22"/>
          <w:lang w:val="id-ID"/>
        </w:rPr>
      </w:pPr>
      <w:r w:rsidRPr="00A601A9">
        <w:rPr>
          <w:i/>
          <w:color w:val="000000" w:themeColor="text1"/>
          <w:sz w:val="22"/>
          <w:szCs w:val="22"/>
          <w:lang w:val="id-ID"/>
        </w:rPr>
        <w:t xml:space="preserve">The risk distribution model of the supply chain of </w:t>
      </w:r>
      <w:r w:rsidR="00F85FE3" w:rsidRPr="00A601A9">
        <w:rPr>
          <w:i/>
          <w:color w:val="000000" w:themeColor="text1"/>
          <w:sz w:val="22"/>
          <w:szCs w:val="22"/>
          <w:lang w:val="id-ID"/>
        </w:rPr>
        <w:t>dadih</w:t>
      </w:r>
      <w:r w:rsidRPr="00A601A9">
        <w:rPr>
          <w:i/>
          <w:color w:val="000000" w:themeColor="text1"/>
          <w:sz w:val="22"/>
          <w:szCs w:val="22"/>
          <w:lang w:val="id-ID"/>
        </w:rPr>
        <w:t xml:space="preserve"> products</w:t>
      </w:r>
    </w:p>
    <w:p w:rsidR="009D155D" w:rsidRDefault="00DB7151" w:rsidP="00DB7151">
      <w:pPr>
        <w:pStyle w:val="IJASEITParagraph"/>
        <w:spacing w:line="276" w:lineRule="auto"/>
        <w:rPr>
          <w:color w:val="000000" w:themeColor="text1"/>
          <w:sz w:val="22"/>
          <w:szCs w:val="22"/>
          <w:lang w:val="id-ID"/>
        </w:rPr>
      </w:pPr>
      <w:r w:rsidRPr="00DB7151">
        <w:rPr>
          <w:color w:val="000000" w:themeColor="text1"/>
          <w:sz w:val="22"/>
          <w:szCs w:val="22"/>
          <w:lang w:val="id-ID"/>
        </w:rPr>
        <w:t>The risk mitigation process through the risk distribution approach is one part of the risk management appro</w:t>
      </w:r>
      <w:r w:rsidR="006F42E7">
        <w:rPr>
          <w:color w:val="000000" w:themeColor="text1"/>
          <w:sz w:val="22"/>
          <w:szCs w:val="22"/>
          <w:lang w:val="id-ID"/>
        </w:rPr>
        <w:t>ach to supply chain management [8]</w:t>
      </w:r>
      <w:r w:rsidRPr="00DB7151">
        <w:rPr>
          <w:color w:val="000000" w:themeColor="text1"/>
          <w:sz w:val="22"/>
          <w:szCs w:val="22"/>
          <w:lang w:val="id-ID"/>
        </w:rPr>
        <w:t xml:space="preserve"> </w:t>
      </w:r>
      <w:r w:rsidR="006F42E7">
        <w:rPr>
          <w:color w:val="000000" w:themeColor="text1"/>
          <w:sz w:val="22"/>
          <w:szCs w:val="22"/>
          <w:lang w:val="id-ID"/>
        </w:rPr>
        <w:t>[9]</w:t>
      </w:r>
      <w:r w:rsidRPr="00DB7151">
        <w:rPr>
          <w:color w:val="000000" w:themeColor="text1"/>
          <w:sz w:val="22"/>
          <w:szCs w:val="22"/>
          <w:lang w:val="id-ID"/>
        </w:rPr>
        <w:t>. The risk distribution model is used to balance the profit of each stakeholder. In this model, the price mechanism is split into two components: fixed price (</w:t>
      </w:r>
      <w:r w:rsidR="00A601A9">
        <w:rPr>
          <w:color w:val="000000" w:themeColor="text1"/>
          <w:sz w:val="22"/>
          <w:szCs w:val="22"/>
          <w:lang w:val="id-ID"/>
        </w:rPr>
        <w:t>F</w:t>
      </w:r>
      <w:r w:rsidR="00A601A9" w:rsidRPr="00A601A9">
        <w:rPr>
          <w:color w:val="000000" w:themeColor="text1"/>
          <w:sz w:val="22"/>
          <w:szCs w:val="22"/>
          <w:vertAlign w:val="subscript"/>
          <w:lang w:val="id-ID"/>
        </w:rPr>
        <w:t>yi</w:t>
      </w:r>
      <w:r w:rsidRPr="00DB7151">
        <w:rPr>
          <w:color w:val="000000" w:themeColor="text1"/>
          <w:sz w:val="22"/>
          <w:szCs w:val="22"/>
          <w:lang w:val="id-ID"/>
        </w:rPr>
        <w:t>) and incentive (</w:t>
      </w:r>
      <w:r w:rsidR="00A601A9">
        <w:rPr>
          <w:color w:val="000000" w:themeColor="text1"/>
          <w:sz w:val="22"/>
          <w:szCs w:val="22"/>
          <w:lang w:val="id-ID"/>
        </w:rPr>
        <w:t>I</w:t>
      </w:r>
      <w:r w:rsidRPr="00DB7151">
        <w:rPr>
          <w:color w:val="000000" w:themeColor="text1"/>
          <w:sz w:val="22"/>
          <w:szCs w:val="22"/>
          <w:lang w:val="id-ID"/>
        </w:rPr>
        <w:t>). The element has the same proportion in the price mechanism that is 50% of the total price allocated to each stakeholder while the other 50% is allocated as the performance incentive. In other words, the higher the performance of stakeholders the incentives are obtained as high prize remain. The formulation of the price mechanism can be seen as follows:</w:t>
      </w:r>
    </w:p>
    <w:p w:rsidR="00DB7151" w:rsidRPr="008D4A4F" w:rsidRDefault="00DB7151" w:rsidP="00DB7151">
      <w:pPr>
        <w:ind w:firstLine="567"/>
        <w:jc w:val="both"/>
      </w:pPr>
    </w:p>
    <w:p w:rsidR="00DB7151" w:rsidRPr="000A2933" w:rsidRDefault="00DB7151" w:rsidP="00260D2C">
      <w:pPr>
        <w:jc w:val="right"/>
        <w:rPr>
          <w:lang w:val="id-ID"/>
        </w:rPr>
      </w:pPr>
      <m:oMath>
        <m:sSub>
          <m:sSubPr>
            <m:ctrlPr>
              <w:rPr>
                <w:rFonts w:ascii="Cambria Math" w:hAnsi="Cambria Math"/>
                <w:i/>
                <w:sz w:val="24"/>
                <w:szCs w:val="24"/>
              </w:rPr>
            </m:ctrlPr>
          </m:sSubPr>
          <m:e>
            <m:r>
              <w:rPr>
                <w:rFonts w:ascii="Cambria Math" w:hAnsi="Cambria Math"/>
                <w:sz w:val="24"/>
                <w:szCs w:val="24"/>
              </w:rPr>
              <m:t>FP</m:t>
            </m:r>
          </m:e>
          <m:sub>
            <m:r>
              <w:rPr>
                <w:rFonts w:ascii="Cambria Math" w:hAnsi="Cambria Math"/>
                <w:sz w:val="24"/>
                <w:szCs w:val="24"/>
              </w:rPr>
              <m:t>yi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(W</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m:t>
                </m:r>
              </m:sub>
            </m:sSub>
            <m:r>
              <w:rPr>
                <w:rFonts w:ascii="Cambria Math" w:hAnsi="Cambria Math"/>
                <w:sz w:val="24"/>
                <w:szCs w:val="24"/>
              </w:rPr>
              <m:t>)</m:t>
            </m:r>
          </m:num>
          <m:den>
            <m:r>
              <w:rPr>
                <w:rFonts w:ascii="Cambria Math" w:hAnsi="Cambria Math"/>
                <w:sz w:val="24"/>
                <w:szCs w:val="24"/>
              </w:rPr>
              <m:t>2</m:t>
            </m:r>
          </m:den>
        </m:f>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WR</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m:t>
                    </m:r>
                  </m:sub>
                </m:sSub>
              </m:num>
              <m:den>
                <m:r>
                  <w:rPr>
                    <w:rFonts w:ascii="Cambria Math" w:hAnsi="Cambria Math"/>
                    <w:sz w:val="24"/>
                    <w:szCs w:val="24"/>
                  </w:rPr>
                  <m:t>2</m:t>
                </m:r>
              </m:den>
            </m:f>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yi</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WR</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m:t>
                        </m:r>
                      </m:sub>
                    </m:sSub>
                  </m:num>
                  <m:den>
                    <m:r>
                      <w:rPr>
                        <w:rFonts w:ascii="Cambria Math" w:hAnsi="Cambria Math"/>
                        <w:sz w:val="24"/>
                        <w:szCs w:val="24"/>
                      </w:rPr>
                      <m:t>2</m:t>
                    </m:r>
                  </m:den>
                </m:f>
              </m:e>
            </m:d>
          </m:e>
        </m:d>
      </m:oMath>
      <w:r>
        <w:rPr>
          <w:lang w:val="id-ID"/>
        </w:rPr>
        <w:t xml:space="preserve"> </w:t>
      </w:r>
      <w:r>
        <w:rPr>
          <w:lang w:val="id-ID"/>
        </w:rPr>
        <w:tab/>
      </w:r>
      <w:r w:rsidR="00260D2C">
        <w:rPr>
          <w:lang w:val="id-ID"/>
        </w:rPr>
        <w:tab/>
      </w:r>
      <w:r w:rsidR="00260D2C">
        <w:rPr>
          <w:lang w:val="id-ID"/>
        </w:rPr>
        <w:tab/>
      </w:r>
      <w:r w:rsidR="00260D2C">
        <w:rPr>
          <w:lang w:val="id-ID"/>
        </w:rPr>
        <w:tab/>
      </w:r>
      <w:r w:rsidR="00260D2C">
        <w:rPr>
          <w:lang w:val="id-ID"/>
        </w:rPr>
        <w:tab/>
      </w:r>
      <w:r>
        <w:rPr>
          <w:lang w:val="id-ID"/>
        </w:rPr>
        <w:t>(10)</w:t>
      </w:r>
    </w:p>
    <w:p w:rsidR="00DB7151" w:rsidRDefault="00DB7151" w:rsidP="00DB7151">
      <w:pPr>
        <w:tabs>
          <w:tab w:val="left" w:pos="567"/>
        </w:tabs>
      </w:pPr>
      <w:r w:rsidRPr="00DB7151">
        <w:t>Constraint function:</w:t>
      </w:r>
    </w:p>
    <w:p w:rsidR="00DB7151" w:rsidRPr="008D4A4F" w:rsidRDefault="00DB7151" w:rsidP="00DB7151">
      <w:pPr>
        <w:tabs>
          <w:tab w:val="left" w:pos="567"/>
        </w:tabs>
      </w:pPr>
      <m:oMath>
        <m:sSub>
          <m:sSubPr>
            <m:ctrlPr>
              <w:rPr>
                <w:rFonts w:ascii="Cambria Math" w:hAnsi="Cambria Math"/>
                <w:i/>
                <w:sz w:val="24"/>
                <w:szCs w:val="24"/>
              </w:rPr>
            </m:ctrlPr>
          </m:sSubPr>
          <m:e>
            <m:r>
              <w:rPr>
                <w:rFonts w:ascii="Cambria Math" w:hAnsi="Cambria Math"/>
                <w:sz w:val="24"/>
                <w:szCs w:val="24"/>
              </w:rPr>
              <m:t>WR</m:t>
            </m:r>
          </m:e>
          <m:sub>
            <m:r>
              <w:rPr>
                <w:rFonts w:ascii="Cambria Math" w:hAnsi="Cambria Math"/>
                <w:sz w:val="24"/>
                <w:szCs w:val="24"/>
              </w:rPr>
              <m:t>i</m:t>
            </m:r>
          </m:sub>
        </m:sSub>
        <m:r>
          <w:rPr>
            <w:rFonts w:ascii="Cambria Math" w:hAnsi="Cambria Math"/>
            <w:sz w:val="24"/>
            <w:szCs w:val="24"/>
          </w:rPr>
          <m:t>&lt;1</m:t>
        </m:r>
      </m:oMath>
      <w:r>
        <w:t xml:space="preserve"> </w:t>
      </w:r>
      <w:r>
        <w:tab/>
      </w:r>
      <w:r>
        <w:tab/>
      </w:r>
      <w:r>
        <w:tab/>
      </w:r>
      <w:r>
        <w:tab/>
      </w:r>
      <w:r>
        <w:tab/>
      </w:r>
      <w:r>
        <w:tab/>
      </w:r>
      <w:r>
        <w:tab/>
      </w:r>
      <w:r>
        <w:tab/>
        <w:t>(11)</w:t>
      </w:r>
      <w:bookmarkStart w:id="3" w:name="_GoBack"/>
      <w:bookmarkEnd w:id="3"/>
    </w:p>
    <w:p w:rsidR="00DB7151" w:rsidRPr="008D4A4F" w:rsidRDefault="00DB7151" w:rsidP="00DB7151">
      <m:oMath>
        <m:r>
          <w:rPr>
            <w:rFonts w:ascii="Cambria Math" w:hAnsi="Cambria Math"/>
            <w:sz w:val="24"/>
            <w:szCs w:val="24"/>
          </w:rPr>
          <m:t>θ&gt;1</m:t>
        </m:r>
      </m:oMath>
      <w:r>
        <w:t xml:space="preserve"> </w:t>
      </w:r>
      <w:r>
        <w:tab/>
      </w:r>
      <w:r>
        <w:tab/>
      </w:r>
      <w:r>
        <w:tab/>
      </w:r>
      <w:r>
        <w:tab/>
      </w:r>
      <w:r>
        <w:tab/>
      </w:r>
      <w:r>
        <w:tab/>
      </w:r>
      <w:r>
        <w:tab/>
      </w:r>
      <w:r>
        <w:tab/>
      </w:r>
      <w:r>
        <w:tab/>
        <w:t>(12)</w:t>
      </w:r>
    </w:p>
    <w:p w:rsidR="00DB7151" w:rsidRPr="000A2933" w:rsidRDefault="00DB7151" w:rsidP="00DB7151">
      <w:pPr>
        <w:rPr>
          <w:lang w:val="id-ID"/>
        </w:rPr>
      </w:pPr>
      <m:oMath>
        <m:nary>
          <m:naryPr>
            <m:chr m:val="∑"/>
            <m:limLoc m:val="undOvr"/>
            <m:ctrlPr>
              <w:rPr>
                <w:rFonts w:ascii="Cambria Math" w:hAnsi="Cambria Math"/>
                <w:i/>
                <w:sz w:val="24"/>
                <w:szCs w:val="24"/>
              </w:rPr>
            </m:ctrlPr>
          </m:naryPr>
          <m:sub>
            <m:r>
              <w:rPr>
                <w:rFonts w:ascii="Cambria Math" w:hAnsi="Cambria Math"/>
                <w:sz w:val="24"/>
                <w:szCs w:val="24"/>
              </w:rPr>
              <m:t>j=i</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up>
          <m:e>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j=i</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e>
        </m:nary>
        <m:r>
          <w:rPr>
            <w:rFonts w:ascii="Cambria Math" w:hAnsi="Cambria Math"/>
            <w:sz w:val="24"/>
            <w:szCs w:val="24"/>
          </w:rPr>
          <m:t>≤0</m:t>
        </m:r>
      </m:oMath>
      <w:r>
        <w:rPr>
          <w:lang w:val="id-ID"/>
        </w:rPr>
        <w:t xml:space="preserve"> </w:t>
      </w:r>
      <w:r>
        <w:rPr>
          <w:lang w:val="id-ID"/>
        </w:rPr>
        <w:tab/>
      </w:r>
      <w:r>
        <w:rPr>
          <w:lang w:val="id-ID"/>
        </w:rPr>
        <w:tab/>
        <w:t>(13)</w:t>
      </w:r>
    </w:p>
    <w:p w:rsidR="00DB7151" w:rsidRPr="000A2933" w:rsidRDefault="00DB7151" w:rsidP="00DB7151">
      <w:pPr>
        <w:tabs>
          <w:tab w:val="left" w:pos="426"/>
        </w:tabs>
        <w:rPr>
          <w:lang w:val="id-ID"/>
        </w:rPr>
      </w:pPr>
      <m:oMath>
        <m:nary>
          <m:naryPr>
            <m:chr m:val="∑"/>
            <m:limLoc m:val="undOvr"/>
            <m:ctrlPr>
              <w:rPr>
                <w:rFonts w:ascii="Cambria Math" w:hAnsi="Cambria Math"/>
                <w:i/>
                <w:sz w:val="24"/>
                <w:szCs w:val="24"/>
              </w:rPr>
            </m:ctrlPr>
          </m:naryPr>
          <m:sub>
            <m:r>
              <w:rPr>
                <w:rFonts w:ascii="Cambria Math" w:hAnsi="Cambria Math"/>
                <w:sz w:val="24"/>
                <w:szCs w:val="24"/>
              </w:rPr>
              <m:t>j=i</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r>
              <w:rPr>
                <w:rFonts w:ascii="Cambria Math" w:hAnsi="Cambria Math"/>
                <w:sz w:val="24"/>
                <w:szCs w:val="24"/>
              </w:rPr>
              <m:t>=1</m:t>
            </m:r>
          </m:e>
        </m:nary>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lang w:val="id-ID"/>
        </w:rPr>
        <w:t>(14)</w:t>
      </w:r>
    </w:p>
    <w:p w:rsidR="00DB7151" w:rsidRPr="000A2933" w:rsidRDefault="00DB7151" w:rsidP="00DB7151">
      <w:pPr>
        <w:rPr>
          <w:sz w:val="24"/>
          <w:szCs w:val="24"/>
          <w:lang w:val="id-ID"/>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r>
          <w:rPr>
            <w:rFonts w:ascii="Cambria Math" w:hAnsi="Cambria Math"/>
            <w:sz w:val="24"/>
            <w:szCs w:val="24"/>
          </w:rPr>
          <m:t>≥0</m:t>
        </m:r>
      </m:oMath>
      <w:r>
        <w:rPr>
          <w:lang w:val="id-ID"/>
        </w:rPr>
        <w:t xml:space="preserve"> </w:t>
      </w:r>
      <w:r>
        <w:rPr>
          <w:lang w:val="id-ID"/>
        </w:rPr>
        <w:tab/>
      </w:r>
      <w:r>
        <w:rPr>
          <w:lang w:val="id-ID"/>
        </w:rPr>
        <w:tab/>
      </w:r>
      <w:r>
        <w:rPr>
          <w:lang w:val="id-ID"/>
        </w:rPr>
        <w:tab/>
      </w:r>
      <w:r>
        <w:rPr>
          <w:lang w:val="id-ID"/>
        </w:rPr>
        <w:tab/>
      </w:r>
      <w:r>
        <w:rPr>
          <w:lang w:val="id-ID"/>
        </w:rPr>
        <w:tab/>
      </w:r>
      <w:r>
        <w:rPr>
          <w:lang w:val="id-ID"/>
        </w:rPr>
        <w:tab/>
      </w:r>
      <w:r>
        <w:rPr>
          <w:lang w:val="id-ID"/>
        </w:rPr>
        <w:tab/>
        <w:t>(15)</w:t>
      </w:r>
    </w:p>
    <w:p w:rsidR="00DB7151" w:rsidRDefault="00DB7151" w:rsidP="00DB7151">
      <w:pPr>
        <w:rPr>
          <w:lang w:val="id-ID"/>
        </w:rPr>
      </w:pPr>
      <m:oMath>
        <m:r>
          <w:rPr>
            <w:rFonts w:ascii="Cambria Math" w:hAnsi="Cambria Math"/>
            <w:sz w:val="24"/>
            <w:szCs w:val="24"/>
          </w:rPr>
          <m:t>ρ&lt;1</m:t>
        </m:r>
      </m:oMath>
      <w:r>
        <w:tab/>
      </w:r>
      <w:r>
        <w:tab/>
      </w:r>
      <w:r>
        <w:tab/>
      </w:r>
      <w:r>
        <w:tab/>
      </w:r>
      <w:r>
        <w:tab/>
      </w:r>
      <w:r>
        <w:tab/>
      </w:r>
      <w:r>
        <w:tab/>
      </w:r>
      <w:r>
        <w:tab/>
      </w:r>
      <w:r>
        <w:tab/>
      </w:r>
      <w:r>
        <w:rPr>
          <w:lang w:val="id-ID"/>
        </w:rPr>
        <w:t>(16)</w:t>
      </w:r>
    </w:p>
    <w:p w:rsidR="00DB7151" w:rsidRDefault="00DB7151" w:rsidP="00DB7151">
      <w:pPr>
        <w:rPr>
          <w:lang w:val="id-ID"/>
        </w:rPr>
      </w:pPr>
    </w:p>
    <w:p w:rsidR="00DB7151" w:rsidRDefault="00DB7151" w:rsidP="00DB7151">
      <w:pPr>
        <w:rPr>
          <w:lang w:val="id-ID"/>
        </w:rPr>
      </w:pPr>
      <w:r>
        <w:rPr>
          <w:lang w:val="id-ID"/>
        </w:rPr>
        <w:t>Where:</w:t>
      </w:r>
    </w:p>
    <w:tbl>
      <w:tblPr>
        <w:tblW w:w="0" w:type="auto"/>
        <w:tblInd w:w="108" w:type="dxa"/>
        <w:tblLook w:val="04A0" w:firstRow="1" w:lastRow="0" w:firstColumn="1" w:lastColumn="0" w:noHBand="0" w:noVBand="1"/>
      </w:tblPr>
      <w:tblGrid>
        <w:gridCol w:w="595"/>
        <w:gridCol w:w="329"/>
        <w:gridCol w:w="4371"/>
      </w:tblGrid>
      <w:tr w:rsidR="00DB7151" w:rsidRPr="000730DF" w:rsidTr="00DB7151">
        <w:trPr>
          <w:trHeight w:val="253"/>
        </w:trPr>
        <w:tc>
          <w:tcPr>
            <w:tcW w:w="0" w:type="auto"/>
            <w:shd w:val="clear" w:color="auto" w:fill="auto"/>
          </w:tcPr>
          <w:p w:rsidR="00DB7151" w:rsidRPr="00DB7151" w:rsidRDefault="00DB7151" w:rsidP="00DB7151">
            <w:pPr>
              <w:jc w:val="both"/>
              <w:rPr>
                <w:rFonts w:eastAsia="Calibri"/>
              </w:rPr>
            </w:pPr>
            <m:oMathPara>
              <m:oMath>
                <m:sSub>
                  <m:sSubPr>
                    <m:ctrlPr>
                      <w:rPr>
                        <w:rFonts w:ascii="Cambria Math" w:hAnsi="Cambria Math"/>
                        <w:i/>
                        <w:sz w:val="24"/>
                        <w:szCs w:val="24"/>
                      </w:rPr>
                    </m:ctrlPr>
                  </m:sSubPr>
                  <m:e>
                    <m:r>
                      <w:rPr>
                        <w:rFonts w:ascii="Cambria Math" w:hAnsi="Cambria Math"/>
                      </w:rPr>
                      <m:t>FP</m:t>
                    </m:r>
                  </m:e>
                  <m:sub>
                    <m:r>
                      <w:rPr>
                        <w:rFonts w:ascii="Cambria Math" w:hAnsi="Cambria Math"/>
                      </w:rPr>
                      <m:t>yi</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The optimum price of unit </w:t>
            </w:r>
            <w:proofErr w:type="spellStart"/>
            <w:r w:rsidRPr="00ED4032">
              <w:t>i</w:t>
            </w:r>
            <w:proofErr w:type="spellEnd"/>
            <w:r w:rsidRPr="00ED4032">
              <w:t xml:space="preserve"> in region y</w:t>
            </w:r>
          </w:p>
        </w:tc>
      </w:tr>
      <w:tr w:rsidR="00DB7151" w:rsidRPr="000730DF" w:rsidTr="00DB7151">
        <w:trPr>
          <w:trHeight w:val="240"/>
        </w:trPr>
        <w:tc>
          <w:tcPr>
            <w:tcW w:w="0" w:type="auto"/>
            <w:shd w:val="clear" w:color="auto" w:fill="auto"/>
          </w:tcPr>
          <w:p w:rsidR="00DB7151" w:rsidRPr="00DB7151" w:rsidRDefault="00DB7151" w:rsidP="00DB7151">
            <w:pPr>
              <w:jc w:val="both"/>
              <w:rPr>
                <w:rFonts w:eastAsia="Calibri"/>
              </w:rPr>
            </w:pPr>
            <m:oMathPara>
              <m:oMath>
                <m:sSub>
                  <m:sSubPr>
                    <m:ctrlPr>
                      <w:rPr>
                        <w:rFonts w:ascii="Cambria Math" w:hAnsi="Cambria Math"/>
                        <w:i/>
                        <w:sz w:val="24"/>
                        <w:szCs w:val="24"/>
                      </w:rPr>
                    </m:ctrlPr>
                  </m:sSubPr>
                  <m:e>
                    <m:r>
                      <w:rPr>
                        <w:rFonts w:ascii="Cambria Math" w:hAnsi="Cambria Math"/>
                      </w:rPr>
                      <m:t>WR</m:t>
                    </m:r>
                  </m:e>
                  <m:sub>
                    <m:r>
                      <w:rPr>
                        <w:rFonts w:ascii="Cambria Math" w:hAnsi="Cambria Math"/>
                      </w:rPr>
                      <m:t>i</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The weight of the </w:t>
            </w:r>
            <w:proofErr w:type="spellStart"/>
            <w:r w:rsidRPr="00ED4032">
              <w:t>i</w:t>
            </w:r>
            <w:proofErr w:type="spellEnd"/>
            <w:r w:rsidRPr="00ED4032">
              <w:t>-unit risk</w:t>
            </w:r>
          </w:p>
        </w:tc>
      </w:tr>
      <w:tr w:rsidR="00DB7151" w:rsidRPr="000730DF" w:rsidTr="00DB7151">
        <w:trPr>
          <w:trHeight w:val="265"/>
        </w:trPr>
        <w:tc>
          <w:tcPr>
            <w:tcW w:w="0" w:type="auto"/>
            <w:shd w:val="clear" w:color="auto" w:fill="auto"/>
          </w:tcPr>
          <w:p w:rsidR="00DB7151" w:rsidRPr="00DB7151" w:rsidRDefault="00DB7151" w:rsidP="00DB7151">
            <w:pPr>
              <w:jc w:val="both"/>
              <w:rPr>
                <w:rFonts w:eastAsia="Calibri"/>
              </w:rPr>
            </w:pPr>
            <m:oMathPara>
              <m:oMath>
                <m:sSub>
                  <m:sSubPr>
                    <m:ctrlPr>
                      <w:rPr>
                        <w:rFonts w:ascii="Cambria Math" w:hAnsi="Cambria Math"/>
                        <w:i/>
                        <w:sz w:val="24"/>
                        <w:szCs w:val="24"/>
                      </w:rPr>
                    </m:ctrlPr>
                  </m:sSubPr>
                  <m:e>
                    <m:r>
                      <w:rPr>
                        <w:rFonts w:ascii="Cambria Math" w:hAnsi="Cambria Math"/>
                      </w:rPr>
                      <m:t>F</m:t>
                    </m:r>
                  </m:e>
                  <m:sub>
                    <m:r>
                      <w:rPr>
                        <w:rFonts w:ascii="Cambria Math" w:hAnsi="Cambria Math"/>
                      </w:rPr>
                      <m:t>y</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Fix payment of the </w:t>
            </w:r>
            <w:proofErr w:type="spellStart"/>
            <w:r w:rsidRPr="00ED4032">
              <w:t>i</w:t>
            </w:r>
            <w:proofErr w:type="spellEnd"/>
            <w:r w:rsidRPr="00ED4032">
              <w:t>-unit of the y distribution</w:t>
            </w:r>
          </w:p>
        </w:tc>
      </w:tr>
      <w:tr w:rsidR="00DB7151" w:rsidRPr="000730DF" w:rsidTr="00DB7151">
        <w:trPr>
          <w:trHeight w:val="253"/>
        </w:trPr>
        <w:tc>
          <w:tcPr>
            <w:tcW w:w="0" w:type="auto"/>
            <w:shd w:val="clear" w:color="auto" w:fill="auto"/>
          </w:tcPr>
          <w:p w:rsidR="00DB7151" w:rsidRPr="00DB7151" w:rsidRDefault="00DB7151" w:rsidP="00DB7151">
            <w:pPr>
              <w:jc w:val="both"/>
              <w:rPr>
                <w:rFonts w:eastAsia="Calibri"/>
              </w:rPr>
            </w:pPr>
            <m:oMathPara>
              <m:oMath>
                <m:sSub>
                  <m:sSubPr>
                    <m:ctrlPr>
                      <w:rPr>
                        <w:rFonts w:ascii="Cambria Math" w:hAnsi="Cambria Math"/>
                        <w:i/>
                        <w:sz w:val="24"/>
                        <w:szCs w:val="24"/>
                      </w:rPr>
                    </m:ctrlPr>
                  </m:sSubPr>
                  <m:e>
                    <m:r>
                      <w:rPr>
                        <w:rFonts w:ascii="Cambria Math" w:hAnsi="Cambria Math"/>
                      </w:rPr>
                      <m:t>θ</m:t>
                    </m:r>
                  </m:e>
                  <m:sub>
                    <m:r>
                      <w:rPr>
                        <w:rFonts w:ascii="Cambria Math" w:hAnsi="Cambria Math"/>
                      </w:rPr>
                      <m:t>yi</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Performance value of unit </w:t>
            </w:r>
            <w:proofErr w:type="spellStart"/>
            <w:r w:rsidRPr="00ED4032">
              <w:t>i</w:t>
            </w:r>
            <w:proofErr w:type="spellEnd"/>
            <w:r w:rsidRPr="00ED4032">
              <w:t xml:space="preserve"> in region y</w:t>
            </w:r>
          </w:p>
        </w:tc>
      </w:tr>
      <w:tr w:rsidR="00DB7151" w:rsidRPr="000730DF" w:rsidTr="00DB7151">
        <w:trPr>
          <w:trHeight w:val="80"/>
        </w:trPr>
        <w:tc>
          <w:tcPr>
            <w:tcW w:w="0" w:type="auto"/>
            <w:shd w:val="clear" w:color="auto" w:fill="auto"/>
          </w:tcPr>
          <w:p w:rsidR="00DB7151" w:rsidRPr="00DB7151" w:rsidRDefault="00DB7151" w:rsidP="00DB7151">
            <w:pPr>
              <w:jc w:val="both"/>
              <w:rPr>
                <w:rFonts w:ascii="Calibri" w:eastAsia="Calibri" w:hAnsi="Calibri"/>
              </w:rPr>
            </w:pPr>
            <m:oMathPara>
              <m:oMath>
                <m:r>
                  <w:rPr>
                    <w:rFonts w:ascii="Cambria Math" w:hAnsi="Cambria Math"/>
                    <w:sz w:val="24"/>
                    <w:szCs w:val="24"/>
                  </w:rPr>
                  <m:t>ρ</m:t>
                </m:r>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A coefficient of risk aversion of supply chain actors</w:t>
            </w:r>
          </w:p>
        </w:tc>
      </w:tr>
      <w:tr w:rsidR="00DB7151" w:rsidRPr="000730DF" w:rsidTr="00DB7151">
        <w:trPr>
          <w:trHeight w:val="253"/>
        </w:trPr>
        <w:tc>
          <w:tcPr>
            <w:tcW w:w="0" w:type="auto"/>
            <w:shd w:val="clear" w:color="auto" w:fill="auto"/>
          </w:tcPr>
          <w:p w:rsidR="00DB7151" w:rsidRPr="00DB7151" w:rsidRDefault="00DB7151" w:rsidP="00DB7151">
            <w:pPr>
              <w:jc w:val="both"/>
              <w:rPr>
                <w:rFonts w:ascii="Calibri" w:eastAsia="Calibri" w:hAnsi="Calibri"/>
              </w:rPr>
            </w:pPr>
            <m:oMathPara>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ij</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The output variable j of the </w:t>
            </w:r>
            <w:proofErr w:type="spellStart"/>
            <w:r w:rsidRPr="00ED4032">
              <w:t>i</w:t>
            </w:r>
            <w:proofErr w:type="spellEnd"/>
            <w:r w:rsidRPr="00ED4032">
              <w:t xml:space="preserve"> unit</w:t>
            </w:r>
          </w:p>
        </w:tc>
      </w:tr>
      <w:tr w:rsidR="00DB7151" w:rsidRPr="000730DF" w:rsidTr="00DB7151">
        <w:trPr>
          <w:trHeight w:val="265"/>
        </w:trPr>
        <w:tc>
          <w:tcPr>
            <w:tcW w:w="0" w:type="auto"/>
            <w:shd w:val="clear" w:color="auto" w:fill="auto"/>
          </w:tcPr>
          <w:p w:rsidR="00DB7151" w:rsidRPr="00DB7151" w:rsidRDefault="00DB7151" w:rsidP="00DB7151">
            <w:pPr>
              <w:jc w:val="both"/>
              <w:rPr>
                <w:rFonts w:ascii="Calibri" w:eastAsia="Calibri" w:hAnsi="Calibri"/>
              </w:rPr>
            </w:pPr>
            <m:oMathPara>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The output weight j of the </w:t>
            </w:r>
            <w:proofErr w:type="spellStart"/>
            <w:r w:rsidRPr="00ED4032">
              <w:t>i</w:t>
            </w:r>
            <w:proofErr w:type="spellEnd"/>
            <w:r w:rsidRPr="00ED4032">
              <w:t xml:space="preserve"> unit</w:t>
            </w:r>
          </w:p>
        </w:tc>
      </w:tr>
      <w:tr w:rsidR="00DB7151" w:rsidRPr="000730DF" w:rsidTr="00DB7151">
        <w:trPr>
          <w:trHeight w:val="265"/>
        </w:trPr>
        <w:tc>
          <w:tcPr>
            <w:tcW w:w="0" w:type="auto"/>
            <w:shd w:val="clear" w:color="auto" w:fill="auto"/>
          </w:tcPr>
          <w:p w:rsidR="00DB7151" w:rsidRPr="00DB7151" w:rsidRDefault="00DB7151" w:rsidP="00DB7151">
            <w:pPr>
              <w:jc w:val="both"/>
              <w:rPr>
                <w:rFonts w:ascii="Calibri" w:eastAsia="Calibri" w:hAnsi="Calibri"/>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ij</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Pr="00ED4032" w:rsidRDefault="00DB7151" w:rsidP="00DB7151">
            <w:r w:rsidRPr="00ED4032">
              <w:t xml:space="preserve">The input variable to the j of the </w:t>
            </w:r>
            <w:proofErr w:type="spellStart"/>
            <w:r w:rsidRPr="00ED4032">
              <w:t>i</w:t>
            </w:r>
            <w:proofErr w:type="spellEnd"/>
            <w:r w:rsidRPr="00ED4032">
              <w:t>-unit</w:t>
            </w:r>
          </w:p>
        </w:tc>
      </w:tr>
      <w:tr w:rsidR="00DB7151" w:rsidRPr="000730DF" w:rsidTr="00DB7151">
        <w:trPr>
          <w:trHeight w:val="253"/>
        </w:trPr>
        <w:tc>
          <w:tcPr>
            <w:tcW w:w="0" w:type="auto"/>
            <w:shd w:val="clear" w:color="auto" w:fill="auto"/>
          </w:tcPr>
          <w:p w:rsidR="00DB7151" w:rsidRPr="00DB7151" w:rsidRDefault="00DB7151" w:rsidP="00DB7151">
            <w:pPr>
              <w:jc w:val="both"/>
              <w:rPr>
                <w:rFonts w:ascii="Calibri" w:eastAsia="Calibri" w:hAnsi="Calibri"/>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oMath>
            </m:oMathPara>
          </w:p>
        </w:tc>
        <w:tc>
          <w:tcPr>
            <w:tcW w:w="0" w:type="auto"/>
            <w:shd w:val="clear" w:color="auto" w:fill="auto"/>
          </w:tcPr>
          <w:p w:rsidR="00DB7151" w:rsidRPr="006F6CE9" w:rsidRDefault="00DB7151" w:rsidP="00DB7151">
            <w:pPr>
              <w:jc w:val="both"/>
              <w:rPr>
                <w:rFonts w:eastAsia="Calibri"/>
              </w:rPr>
            </w:pPr>
            <w:r w:rsidRPr="006F6CE9">
              <w:rPr>
                <w:rFonts w:eastAsia="Calibri"/>
              </w:rPr>
              <w:t>=</w:t>
            </w:r>
          </w:p>
        </w:tc>
        <w:tc>
          <w:tcPr>
            <w:tcW w:w="0" w:type="auto"/>
            <w:shd w:val="clear" w:color="auto" w:fill="auto"/>
          </w:tcPr>
          <w:p w:rsidR="00DB7151" w:rsidRDefault="00DB7151" w:rsidP="00DB7151">
            <w:r w:rsidRPr="00ED4032">
              <w:t xml:space="preserve">The input weight j of the </w:t>
            </w:r>
            <w:proofErr w:type="spellStart"/>
            <w:r w:rsidRPr="00ED4032">
              <w:t>i</w:t>
            </w:r>
            <w:proofErr w:type="spellEnd"/>
            <w:r w:rsidRPr="00ED4032">
              <w:t xml:space="preserve">-unit </w:t>
            </w:r>
          </w:p>
        </w:tc>
      </w:tr>
    </w:tbl>
    <w:p w:rsidR="00DB7151" w:rsidRDefault="00DB7151" w:rsidP="004312BB">
      <w:pPr>
        <w:ind w:left="284" w:hanging="284"/>
        <w:jc w:val="center"/>
        <w:rPr>
          <w:b/>
          <w:bCs/>
          <w:sz w:val="22"/>
          <w:szCs w:val="22"/>
        </w:rPr>
      </w:pPr>
    </w:p>
    <w:p w:rsidR="004312BB" w:rsidRPr="00E12325" w:rsidRDefault="004312BB" w:rsidP="004312BB">
      <w:pPr>
        <w:ind w:left="284" w:hanging="284"/>
        <w:jc w:val="center"/>
        <w:rPr>
          <w:b/>
          <w:bCs/>
          <w:sz w:val="22"/>
          <w:szCs w:val="22"/>
          <w:lang w:val="id-ID"/>
        </w:rPr>
      </w:pPr>
      <w:r w:rsidRPr="00E12325">
        <w:rPr>
          <w:b/>
          <w:bCs/>
          <w:sz w:val="22"/>
          <w:szCs w:val="22"/>
        </w:rPr>
        <w:t xml:space="preserve">3. </w:t>
      </w:r>
      <w:r w:rsidRPr="00E12325">
        <w:rPr>
          <w:b/>
          <w:bCs/>
          <w:sz w:val="22"/>
          <w:szCs w:val="22"/>
        </w:rPr>
        <w:tab/>
      </w:r>
      <w:r w:rsidRPr="00E12325">
        <w:rPr>
          <w:b/>
          <w:sz w:val="22"/>
          <w:szCs w:val="22"/>
          <w:lang w:val="id-ID"/>
        </w:rPr>
        <w:t>Result</w:t>
      </w:r>
      <w:r w:rsidR="00846234" w:rsidRPr="00E12325">
        <w:rPr>
          <w:b/>
          <w:sz w:val="22"/>
          <w:szCs w:val="22"/>
          <w:lang w:val="id-ID"/>
        </w:rPr>
        <w:t>s</w:t>
      </w:r>
      <w:r w:rsidRPr="00E12325">
        <w:rPr>
          <w:b/>
          <w:sz w:val="22"/>
          <w:szCs w:val="22"/>
          <w:lang w:val="id-ID"/>
        </w:rPr>
        <w:t xml:space="preserve"> and Discussion</w:t>
      </w:r>
    </w:p>
    <w:p w:rsidR="004312BB" w:rsidRPr="00E12325" w:rsidRDefault="004312BB" w:rsidP="004312BB">
      <w:pPr>
        <w:ind w:left="284" w:hanging="284"/>
        <w:jc w:val="center"/>
        <w:rPr>
          <w:b/>
          <w:bCs/>
          <w:sz w:val="22"/>
          <w:szCs w:val="22"/>
          <w:lang w:val="id-ID"/>
        </w:rPr>
      </w:pPr>
    </w:p>
    <w:p w:rsidR="00DB7151" w:rsidRPr="00260D2C" w:rsidRDefault="00260D2C" w:rsidP="00260D2C">
      <w:pPr>
        <w:pStyle w:val="ListParagraph"/>
        <w:numPr>
          <w:ilvl w:val="1"/>
          <w:numId w:val="6"/>
        </w:numPr>
        <w:ind w:left="284" w:hanging="284"/>
        <w:rPr>
          <w:b/>
          <w:sz w:val="22"/>
          <w:szCs w:val="22"/>
          <w:lang w:val="id-ID"/>
        </w:rPr>
      </w:pPr>
      <w:r>
        <w:rPr>
          <w:b/>
          <w:sz w:val="22"/>
          <w:szCs w:val="22"/>
          <w:lang w:val="id-ID"/>
        </w:rPr>
        <w:t xml:space="preserve"> </w:t>
      </w:r>
      <w:r w:rsidR="00DB7151" w:rsidRPr="00260D2C">
        <w:rPr>
          <w:b/>
          <w:sz w:val="22"/>
          <w:szCs w:val="22"/>
          <w:lang w:val="id-ID"/>
        </w:rPr>
        <w:t xml:space="preserve">Identification of Supply Chain Risk of </w:t>
      </w:r>
      <w:r w:rsidR="00A601A9" w:rsidRPr="00260D2C">
        <w:rPr>
          <w:b/>
          <w:sz w:val="22"/>
          <w:szCs w:val="22"/>
          <w:lang w:val="id-ID"/>
        </w:rPr>
        <w:t>Dadih</w:t>
      </w:r>
      <w:r w:rsidR="00DB7151" w:rsidRPr="00260D2C">
        <w:rPr>
          <w:b/>
          <w:sz w:val="22"/>
          <w:szCs w:val="22"/>
          <w:lang w:val="id-ID"/>
        </w:rPr>
        <w:t xml:space="preserve"> Products</w:t>
      </w:r>
    </w:p>
    <w:p w:rsidR="00DB7151" w:rsidRPr="00A601A9" w:rsidRDefault="00DB7151" w:rsidP="00DB7151">
      <w:pPr>
        <w:spacing w:line="276" w:lineRule="auto"/>
        <w:jc w:val="both"/>
        <w:rPr>
          <w:i/>
          <w:sz w:val="22"/>
          <w:szCs w:val="22"/>
          <w:lang w:val="id-ID"/>
        </w:rPr>
      </w:pPr>
      <w:r w:rsidRPr="00A601A9">
        <w:rPr>
          <w:i/>
          <w:sz w:val="22"/>
          <w:szCs w:val="22"/>
          <w:lang w:val="id-ID"/>
        </w:rPr>
        <w:t>Product characteristics</w:t>
      </w:r>
    </w:p>
    <w:p w:rsidR="00617E7F" w:rsidRDefault="00DB7151" w:rsidP="00617E7F">
      <w:pPr>
        <w:spacing w:line="276" w:lineRule="auto"/>
        <w:ind w:firstLine="340"/>
        <w:jc w:val="both"/>
        <w:rPr>
          <w:sz w:val="22"/>
          <w:szCs w:val="22"/>
          <w:lang w:val="id-ID"/>
        </w:rPr>
      </w:pPr>
      <w:r w:rsidRPr="00DB7151">
        <w:rPr>
          <w:sz w:val="22"/>
          <w:szCs w:val="22"/>
          <w:lang w:val="id-ID"/>
        </w:rPr>
        <w:t xml:space="preserve">The </w:t>
      </w:r>
      <w:r w:rsidR="00F85FE3">
        <w:rPr>
          <w:sz w:val="22"/>
          <w:szCs w:val="22"/>
          <w:lang w:val="id-ID"/>
        </w:rPr>
        <w:t>dadih</w:t>
      </w:r>
      <w:r w:rsidRPr="00DB7151">
        <w:rPr>
          <w:sz w:val="22"/>
          <w:szCs w:val="22"/>
          <w:lang w:val="id-ID"/>
        </w:rPr>
        <w:t xml:space="preserve"> is the origin</w:t>
      </w:r>
      <w:r w:rsidR="00914E17">
        <w:rPr>
          <w:sz w:val="22"/>
          <w:szCs w:val="22"/>
          <w:lang w:val="id-ID"/>
        </w:rPr>
        <w:t>al fermented milk from the</w:t>
      </w:r>
      <w:r w:rsidRPr="00DB7151">
        <w:rPr>
          <w:sz w:val="22"/>
          <w:szCs w:val="22"/>
          <w:lang w:val="id-ID"/>
        </w:rPr>
        <w:t xml:space="preserve"> West Sumatera region with a rather thick consistency resembling tofu. The </w:t>
      </w:r>
      <w:r w:rsidR="00F85FE3">
        <w:rPr>
          <w:sz w:val="22"/>
          <w:szCs w:val="22"/>
          <w:lang w:val="id-ID"/>
        </w:rPr>
        <w:t>dadih</w:t>
      </w:r>
      <w:r w:rsidRPr="00DB7151">
        <w:rPr>
          <w:sz w:val="22"/>
          <w:szCs w:val="22"/>
          <w:lang w:val="id-ID"/>
        </w:rPr>
        <w:t xml:space="preserve"> is traditionally made from buffalo milk placed in bamboo and covered with diluted banana leaves and left to ferment naturally at room temperature for 48 hours </w:t>
      </w:r>
      <w:r w:rsidR="006F42E7">
        <w:rPr>
          <w:sz w:val="22"/>
          <w:szCs w:val="22"/>
          <w:lang w:val="id-ID"/>
        </w:rPr>
        <w:t>[10]</w:t>
      </w:r>
      <w:r w:rsidRPr="00DB7151">
        <w:rPr>
          <w:sz w:val="22"/>
          <w:szCs w:val="22"/>
          <w:lang w:val="id-ID"/>
        </w:rPr>
        <w:t>. Fermentation occurs by relying on microbes present in nature or without the use of a</w:t>
      </w:r>
      <w:r w:rsidR="00403C69">
        <w:rPr>
          <w:sz w:val="22"/>
          <w:szCs w:val="22"/>
          <w:lang w:val="id-ID"/>
        </w:rPr>
        <w:t>dditional starter [11]</w:t>
      </w:r>
      <w:r w:rsidRPr="00DB7151">
        <w:rPr>
          <w:sz w:val="22"/>
          <w:szCs w:val="22"/>
          <w:lang w:val="id-ID"/>
        </w:rPr>
        <w:t xml:space="preserve">. Microbes isolated from the </w:t>
      </w:r>
      <w:r w:rsidR="00F85FE3">
        <w:rPr>
          <w:sz w:val="22"/>
          <w:szCs w:val="22"/>
          <w:lang w:val="id-ID"/>
        </w:rPr>
        <w:t>dadih</w:t>
      </w:r>
      <w:r w:rsidRPr="00DB7151">
        <w:rPr>
          <w:sz w:val="22"/>
          <w:szCs w:val="22"/>
          <w:lang w:val="id-ID"/>
        </w:rPr>
        <w:t xml:space="preserve"> are estimated to come from banana leaves as cover, buffalo milk, and ba</w:t>
      </w:r>
      <w:r w:rsidR="00403C69">
        <w:rPr>
          <w:sz w:val="22"/>
          <w:szCs w:val="22"/>
          <w:lang w:val="id-ID"/>
        </w:rPr>
        <w:t>mboo at the time of preparation.</w:t>
      </w:r>
    </w:p>
    <w:p w:rsidR="00DB7151" w:rsidRPr="00DB7151" w:rsidRDefault="00DB7151" w:rsidP="00617E7F">
      <w:pPr>
        <w:spacing w:line="276" w:lineRule="auto"/>
        <w:ind w:firstLine="340"/>
        <w:jc w:val="both"/>
        <w:rPr>
          <w:sz w:val="22"/>
          <w:szCs w:val="22"/>
          <w:lang w:val="id-ID"/>
        </w:rPr>
      </w:pPr>
      <w:r w:rsidRPr="00DB7151">
        <w:rPr>
          <w:sz w:val="22"/>
          <w:szCs w:val="22"/>
          <w:lang w:val="id-ID"/>
        </w:rPr>
        <w:t xml:space="preserve">The </w:t>
      </w:r>
      <w:r w:rsidR="00F85FE3">
        <w:rPr>
          <w:sz w:val="22"/>
          <w:szCs w:val="22"/>
          <w:lang w:val="id-ID"/>
        </w:rPr>
        <w:t>dadih</w:t>
      </w:r>
      <w:r w:rsidRPr="00DB7151">
        <w:rPr>
          <w:sz w:val="22"/>
          <w:szCs w:val="22"/>
          <w:lang w:val="id-ID"/>
        </w:rPr>
        <w:t xml:space="preserve"> is potential to be developed into a probiotic product as the functional food to be enjoyed by the wider community. Probiotics are living microbes attached to the intestinal wall, beneficial</w:t>
      </w:r>
      <w:r w:rsidR="006F42E7">
        <w:rPr>
          <w:sz w:val="22"/>
          <w:szCs w:val="22"/>
          <w:lang w:val="id-ID"/>
        </w:rPr>
        <w:t xml:space="preserve"> to host health </w:t>
      </w:r>
      <w:r w:rsidR="00403C69">
        <w:rPr>
          <w:sz w:val="22"/>
          <w:szCs w:val="22"/>
          <w:lang w:val="id-ID"/>
        </w:rPr>
        <w:t>[12]</w:t>
      </w:r>
      <w:r w:rsidRPr="00DB7151">
        <w:rPr>
          <w:sz w:val="22"/>
          <w:szCs w:val="22"/>
          <w:lang w:val="id-ID"/>
        </w:rPr>
        <w:t xml:space="preserve"> or dietary supplements containing pure cultures or mixtures of living microbes that benefit the host by maintaining an indigenous balance of </w:t>
      </w:r>
      <w:r w:rsidR="00403C69">
        <w:rPr>
          <w:sz w:val="22"/>
          <w:szCs w:val="22"/>
          <w:lang w:val="id-ID"/>
        </w:rPr>
        <w:t>microbes in the digestive tract.</w:t>
      </w:r>
      <w:r w:rsidRPr="00DB7151">
        <w:rPr>
          <w:sz w:val="22"/>
          <w:szCs w:val="22"/>
          <w:lang w:val="id-ID"/>
        </w:rPr>
        <w:t xml:space="preserve"> The </w:t>
      </w:r>
      <w:r w:rsidR="00F85FE3">
        <w:rPr>
          <w:sz w:val="22"/>
          <w:szCs w:val="22"/>
          <w:lang w:val="id-ID"/>
        </w:rPr>
        <w:t>dadih</w:t>
      </w:r>
      <w:r w:rsidRPr="00DB7151">
        <w:rPr>
          <w:sz w:val="22"/>
          <w:szCs w:val="22"/>
          <w:lang w:val="id-ID"/>
        </w:rPr>
        <w:t xml:space="preserve"> which is of good quality is white, consistency resembles yoghurt and has a distinctive aroma of sour milk. The composition of </w:t>
      </w:r>
      <w:r w:rsidR="00F85FE3">
        <w:rPr>
          <w:sz w:val="22"/>
          <w:szCs w:val="22"/>
          <w:lang w:val="id-ID"/>
        </w:rPr>
        <w:t>dadih</w:t>
      </w:r>
      <w:r w:rsidRPr="00DB7151">
        <w:rPr>
          <w:sz w:val="22"/>
          <w:szCs w:val="22"/>
          <w:lang w:val="id-ID"/>
        </w:rPr>
        <w:t xml:space="preserve"> nutrition is water content (82,10%), protein (6,99%), fat (8,08%), acidity (130,5</w:t>
      </w:r>
      <w:r w:rsidRPr="00A601A9">
        <w:rPr>
          <w:sz w:val="22"/>
          <w:szCs w:val="22"/>
          <w:vertAlign w:val="superscript"/>
          <w:lang w:val="id-ID"/>
        </w:rPr>
        <w:t>o</w:t>
      </w:r>
      <w:r w:rsidRPr="00DB7151">
        <w:rPr>
          <w:sz w:val="22"/>
          <w:szCs w:val="22"/>
          <w:lang w:val="id-ID"/>
        </w:rPr>
        <w:t>D) and pH 4,99.</w:t>
      </w:r>
    </w:p>
    <w:p w:rsidR="00DB7151" w:rsidRPr="00DB7151" w:rsidRDefault="00DB7151" w:rsidP="00DB7151">
      <w:pPr>
        <w:spacing w:line="276" w:lineRule="auto"/>
        <w:jc w:val="both"/>
        <w:rPr>
          <w:sz w:val="22"/>
          <w:szCs w:val="22"/>
          <w:lang w:val="id-ID"/>
        </w:rPr>
      </w:pPr>
    </w:p>
    <w:p w:rsidR="00260D2C" w:rsidRDefault="00260D2C" w:rsidP="00DB7151">
      <w:pPr>
        <w:spacing w:line="276" w:lineRule="auto"/>
        <w:jc w:val="both"/>
        <w:rPr>
          <w:i/>
          <w:sz w:val="22"/>
          <w:szCs w:val="22"/>
          <w:lang w:val="id-ID"/>
        </w:rPr>
      </w:pPr>
    </w:p>
    <w:p w:rsidR="00260D2C" w:rsidRDefault="00260D2C" w:rsidP="00DB7151">
      <w:pPr>
        <w:spacing w:line="276" w:lineRule="auto"/>
        <w:jc w:val="both"/>
        <w:rPr>
          <w:i/>
          <w:sz w:val="22"/>
          <w:szCs w:val="22"/>
          <w:lang w:val="id-ID"/>
        </w:rPr>
      </w:pPr>
    </w:p>
    <w:p w:rsidR="00DB7151" w:rsidRPr="00A601A9" w:rsidRDefault="00DB7151" w:rsidP="00DB7151">
      <w:pPr>
        <w:spacing w:line="276" w:lineRule="auto"/>
        <w:jc w:val="both"/>
        <w:rPr>
          <w:i/>
          <w:sz w:val="22"/>
          <w:szCs w:val="22"/>
          <w:lang w:val="id-ID"/>
        </w:rPr>
      </w:pPr>
      <w:r w:rsidRPr="00A601A9">
        <w:rPr>
          <w:i/>
          <w:sz w:val="22"/>
          <w:szCs w:val="22"/>
          <w:lang w:val="id-ID"/>
        </w:rPr>
        <w:t>Characteristics of raw materials</w:t>
      </w:r>
    </w:p>
    <w:p w:rsidR="00617E7F" w:rsidRDefault="00DB7151" w:rsidP="00617E7F">
      <w:pPr>
        <w:spacing w:line="276" w:lineRule="auto"/>
        <w:ind w:firstLine="340"/>
        <w:jc w:val="both"/>
        <w:rPr>
          <w:sz w:val="22"/>
          <w:szCs w:val="22"/>
          <w:lang w:val="id-ID"/>
        </w:rPr>
      </w:pPr>
      <w:r w:rsidRPr="00DB7151">
        <w:rPr>
          <w:sz w:val="22"/>
          <w:szCs w:val="22"/>
          <w:lang w:val="id-ID"/>
        </w:rPr>
        <w:t xml:space="preserve">Cow milk processing is intended to diversify cow's milk into food in various forms. In addition to avoiding cow's milk does not become wasteful or wasted. As we know that pure cow's milk is only able to survive in less than 24 hours. Through the deadline, if you can not use it, then the milk will </w:t>
      </w:r>
      <w:r w:rsidRPr="00DB7151">
        <w:rPr>
          <w:sz w:val="22"/>
          <w:szCs w:val="22"/>
          <w:lang w:val="id-ID"/>
        </w:rPr>
        <w:lastRenderedPageBreak/>
        <w:t>be wasted and cause losses that are not least in value. Diversification of cow's milk can be managed in the home industry or large-scale, and of course for both of this required equipment that all practical and modern, in order to obtain maximum results.</w:t>
      </w:r>
    </w:p>
    <w:p w:rsidR="00DB7151" w:rsidRPr="00DB7151" w:rsidRDefault="00DB7151" w:rsidP="00617E7F">
      <w:pPr>
        <w:spacing w:line="276" w:lineRule="auto"/>
        <w:ind w:firstLine="340"/>
        <w:jc w:val="both"/>
        <w:rPr>
          <w:sz w:val="22"/>
          <w:szCs w:val="22"/>
          <w:lang w:val="id-ID"/>
        </w:rPr>
      </w:pPr>
      <w:r w:rsidRPr="00DB7151">
        <w:rPr>
          <w:sz w:val="22"/>
          <w:szCs w:val="22"/>
          <w:lang w:val="id-ID"/>
        </w:rPr>
        <w:t>As a food/beverage milk has high nutritional value because it contains chemical elements needed by the body such as Calcium, Phosphor, Vitamin A, Vitamin B and Riboflavin high. Its easily digestible composition with high levels of protein, minerals and vitamins makes milk a source of soft food that can be regulated in fat levels, to meet the desires and tastes of consumers.</w:t>
      </w:r>
    </w:p>
    <w:p w:rsidR="00DB7151" w:rsidRPr="00DB7151" w:rsidRDefault="00DB7151" w:rsidP="00DB7151">
      <w:pPr>
        <w:spacing w:line="276" w:lineRule="auto"/>
        <w:jc w:val="both"/>
        <w:rPr>
          <w:sz w:val="22"/>
          <w:szCs w:val="22"/>
          <w:lang w:val="id-ID"/>
        </w:rPr>
      </w:pPr>
    </w:p>
    <w:p w:rsidR="00DB7151" w:rsidRPr="00A601A9" w:rsidRDefault="00DB7151" w:rsidP="00DB7151">
      <w:pPr>
        <w:spacing w:line="276" w:lineRule="auto"/>
        <w:jc w:val="both"/>
        <w:rPr>
          <w:i/>
          <w:sz w:val="22"/>
          <w:szCs w:val="22"/>
          <w:lang w:val="id-ID"/>
        </w:rPr>
      </w:pPr>
      <w:r w:rsidRPr="00A601A9">
        <w:rPr>
          <w:i/>
          <w:sz w:val="22"/>
          <w:szCs w:val="22"/>
          <w:lang w:val="id-ID"/>
        </w:rPr>
        <w:t>Analysis of dairy cows</w:t>
      </w:r>
    </w:p>
    <w:p w:rsidR="00DB7151" w:rsidRDefault="00DB7151" w:rsidP="00617E7F">
      <w:pPr>
        <w:spacing w:line="276" w:lineRule="auto"/>
        <w:ind w:firstLine="340"/>
        <w:jc w:val="both"/>
        <w:rPr>
          <w:sz w:val="22"/>
          <w:szCs w:val="22"/>
          <w:lang w:val="id-ID"/>
        </w:rPr>
      </w:pPr>
      <w:r w:rsidRPr="00DB7151">
        <w:rPr>
          <w:sz w:val="22"/>
          <w:szCs w:val="22"/>
          <w:lang w:val="id-ID"/>
        </w:rPr>
        <w:t xml:space="preserve">The supply chain of </w:t>
      </w:r>
      <w:r w:rsidR="00F85FE3">
        <w:rPr>
          <w:sz w:val="22"/>
          <w:szCs w:val="22"/>
          <w:lang w:val="id-ID"/>
        </w:rPr>
        <w:t>dadih</w:t>
      </w:r>
      <w:r w:rsidRPr="00DB7151">
        <w:rPr>
          <w:sz w:val="22"/>
          <w:szCs w:val="22"/>
          <w:lang w:val="id-ID"/>
        </w:rPr>
        <w:t xml:space="preserve"> products at the level of cattle breeders refers more to dairy farms of the general public in West Sumatra; this is because most cattle farms are traded for beef cattle. The population of dairy cattle in Indonesia is still relatively low compared to other livestock populations. Dairy cows are at the second lowest position of all types of livestock in Indonesia. In 2010 to 2014 the average number of dairy cows is 525 (thousand heads). The most abundant population of livestock species is broiler livestock with an average population of 1247066 (thousand </w:t>
      </w:r>
      <w:r w:rsidR="00617E7F">
        <w:rPr>
          <w:sz w:val="22"/>
          <w:szCs w:val="22"/>
          <w:lang w:val="id-ID"/>
        </w:rPr>
        <w:t>heads</w:t>
      </w:r>
      <w:r w:rsidRPr="00DB7151">
        <w:rPr>
          <w:sz w:val="22"/>
          <w:szCs w:val="22"/>
          <w:lang w:val="id-ID"/>
        </w:rPr>
        <w:t>).</w:t>
      </w:r>
    </w:p>
    <w:p w:rsidR="00617E7F" w:rsidRPr="00617E7F" w:rsidRDefault="00617E7F" w:rsidP="00617E7F">
      <w:pPr>
        <w:spacing w:line="276" w:lineRule="auto"/>
        <w:ind w:firstLine="340"/>
        <w:jc w:val="both"/>
        <w:rPr>
          <w:sz w:val="22"/>
          <w:szCs w:val="22"/>
          <w:lang w:val="id-ID"/>
        </w:rPr>
      </w:pPr>
      <w:r w:rsidRPr="00617E7F">
        <w:rPr>
          <w:sz w:val="22"/>
          <w:szCs w:val="22"/>
          <w:lang w:val="id-ID"/>
        </w:rPr>
        <w:t>The dairy cow is a cow that can produce milk in large quantities. Dairy farming is one part of the livestock sub-sector that needs to be considered. Given the ecological, geographic and soil fertility conditions of some areas in Indonesia, then actually the opportunity to develop the dairy industry is quite good. Also, the production of dairy cows, ie milk is a product that is always needed by the community.</w:t>
      </w:r>
    </w:p>
    <w:p w:rsidR="00617E7F" w:rsidRPr="00617E7F" w:rsidRDefault="00617E7F" w:rsidP="00617E7F">
      <w:pPr>
        <w:spacing w:line="276" w:lineRule="auto"/>
        <w:ind w:firstLine="340"/>
        <w:jc w:val="both"/>
        <w:rPr>
          <w:sz w:val="22"/>
          <w:szCs w:val="22"/>
          <w:lang w:val="id-ID"/>
        </w:rPr>
      </w:pPr>
      <w:r w:rsidRPr="00617E7F">
        <w:rPr>
          <w:sz w:val="22"/>
          <w:szCs w:val="22"/>
          <w:lang w:val="id-ID"/>
        </w:rPr>
        <w:t>The colour of the milk may change from one colour to another, depending on the livestock, the type of feed, the amount of fat, solids and colour-forming materials. The colour of the milk ranges from bluish white to golden yellow. The white colour of milk is the result of the dispersion of light reflected by the fat globules and colloidal particles of casein and calcium phosphate. The yellow colour is due to fat and carotene being soluble. When the fat is taken from milk then the milk will show a bluish colour. Milk tastes slightly sweet, caused by lactose, while the salty taste comes from chlorides, citrates and other mineral salts. The smell of milk is easily changed from the delicious smell to the unpleasant smell. This odour is influenced by the fatty nature of milk that easily absorbs the smell around it. Similarly, cattle feed ingredients can change the smell of milk.</w:t>
      </w:r>
    </w:p>
    <w:p w:rsidR="00617E7F" w:rsidRPr="00617E7F" w:rsidRDefault="00617E7F" w:rsidP="00617E7F">
      <w:pPr>
        <w:spacing w:line="276" w:lineRule="auto"/>
        <w:ind w:firstLine="340"/>
        <w:jc w:val="both"/>
        <w:rPr>
          <w:sz w:val="22"/>
          <w:szCs w:val="22"/>
          <w:lang w:val="id-ID"/>
        </w:rPr>
      </w:pPr>
      <w:r w:rsidRPr="00617E7F">
        <w:rPr>
          <w:sz w:val="22"/>
          <w:szCs w:val="22"/>
          <w:lang w:val="id-ID"/>
        </w:rPr>
        <w:t>Breast milk has a higher density than water that is 1,031. Like BJ then the viscosity of milk is higher than water. The viscosity of the milk usually ranges from 1.5 to 2.0 cP. In the milk codex, it is stated that the freezing point of milk is -0.5000 C. However for Indonesia has changed to -0.5200 C. Dairy contains ingredients/substances which in totality can be digested, absorbed and utilised correctly or 100%. Therefore milk is declared very good as a food ingredient. No more good food animal was especially vegetable with the same power with milk.</w:t>
      </w:r>
    </w:p>
    <w:p w:rsidR="00617E7F" w:rsidRDefault="00617E7F" w:rsidP="00617E7F">
      <w:pPr>
        <w:spacing w:line="276" w:lineRule="auto"/>
        <w:jc w:val="both"/>
        <w:rPr>
          <w:sz w:val="22"/>
          <w:szCs w:val="22"/>
          <w:lang w:val="id-ID"/>
        </w:rPr>
      </w:pPr>
    </w:p>
    <w:p w:rsidR="00617E7F" w:rsidRPr="00A601A9" w:rsidRDefault="00617E7F" w:rsidP="00617E7F">
      <w:pPr>
        <w:spacing w:line="276" w:lineRule="auto"/>
        <w:jc w:val="both"/>
        <w:rPr>
          <w:i/>
          <w:sz w:val="22"/>
          <w:szCs w:val="22"/>
          <w:lang w:val="id-ID"/>
        </w:rPr>
      </w:pPr>
      <w:r w:rsidRPr="00A601A9">
        <w:rPr>
          <w:i/>
          <w:sz w:val="22"/>
          <w:szCs w:val="22"/>
          <w:lang w:val="id-ID"/>
        </w:rPr>
        <w:t>Collector level analysis</w:t>
      </w:r>
    </w:p>
    <w:p w:rsidR="00617E7F" w:rsidRDefault="00617E7F" w:rsidP="00617E7F">
      <w:pPr>
        <w:spacing w:line="276" w:lineRule="auto"/>
        <w:ind w:firstLine="340"/>
        <w:jc w:val="both"/>
        <w:rPr>
          <w:sz w:val="22"/>
          <w:szCs w:val="22"/>
          <w:lang w:val="id-ID"/>
        </w:rPr>
      </w:pPr>
      <w:r w:rsidRPr="00617E7F">
        <w:rPr>
          <w:sz w:val="22"/>
          <w:szCs w:val="22"/>
          <w:lang w:val="id-ID"/>
        </w:rPr>
        <w:t xml:space="preserve">The supply chain network of </w:t>
      </w:r>
      <w:r w:rsidR="00F85FE3">
        <w:rPr>
          <w:sz w:val="22"/>
          <w:szCs w:val="22"/>
          <w:lang w:val="id-ID"/>
        </w:rPr>
        <w:t>dadih</w:t>
      </w:r>
      <w:r w:rsidRPr="00617E7F">
        <w:rPr>
          <w:sz w:val="22"/>
          <w:szCs w:val="22"/>
          <w:lang w:val="id-ID"/>
        </w:rPr>
        <w:t xml:space="preserve"> products at the collecting level consists of cattle milk traders in small and large parties. Usually, the gathering merchants (1) go to the homes of residents who have dairy cows and offer price agreements to the owner of the dairy cattle. Next (2) the collecting merchant will take the supply of cow's milk from dairy farmers and (3) supply the cows' milk that has been collected by the processor</w:t>
      </w:r>
      <w:r>
        <w:rPr>
          <w:sz w:val="22"/>
          <w:szCs w:val="22"/>
          <w:lang w:val="id-ID"/>
        </w:rPr>
        <w:t xml:space="preserve"> </w:t>
      </w:r>
      <w:r w:rsidRPr="00617E7F">
        <w:rPr>
          <w:sz w:val="22"/>
          <w:szCs w:val="22"/>
          <w:lang w:val="id-ID"/>
        </w:rPr>
        <w:t xml:space="preserve">(factory of </w:t>
      </w:r>
      <w:r w:rsidR="00F85FE3">
        <w:rPr>
          <w:sz w:val="22"/>
          <w:szCs w:val="22"/>
          <w:lang w:val="id-ID"/>
        </w:rPr>
        <w:t>dadih</w:t>
      </w:r>
      <w:r w:rsidR="00914E17">
        <w:rPr>
          <w:sz w:val="22"/>
          <w:szCs w:val="22"/>
          <w:lang w:val="id-ID"/>
        </w:rPr>
        <w:t xml:space="preserve"> production).</w:t>
      </w:r>
    </w:p>
    <w:p w:rsidR="00617E7F" w:rsidRPr="00A601A9" w:rsidRDefault="00617E7F" w:rsidP="00617E7F">
      <w:pPr>
        <w:spacing w:line="276" w:lineRule="auto"/>
        <w:jc w:val="both"/>
        <w:rPr>
          <w:i/>
          <w:sz w:val="22"/>
          <w:szCs w:val="22"/>
          <w:lang w:val="id-ID"/>
        </w:rPr>
      </w:pPr>
      <w:r w:rsidRPr="00A601A9">
        <w:rPr>
          <w:i/>
          <w:sz w:val="22"/>
          <w:szCs w:val="22"/>
          <w:lang w:val="id-ID"/>
        </w:rPr>
        <w:t xml:space="preserve">Analysis of the production of </w:t>
      </w:r>
      <w:r w:rsidR="00F85FE3" w:rsidRPr="00A601A9">
        <w:rPr>
          <w:i/>
          <w:sz w:val="22"/>
          <w:szCs w:val="22"/>
          <w:lang w:val="id-ID"/>
        </w:rPr>
        <w:t>dadih</w:t>
      </w:r>
      <w:r w:rsidRPr="00A601A9">
        <w:rPr>
          <w:i/>
          <w:sz w:val="22"/>
          <w:szCs w:val="22"/>
          <w:lang w:val="id-ID"/>
        </w:rPr>
        <w:t xml:space="preserve"> products</w:t>
      </w:r>
    </w:p>
    <w:p w:rsidR="00617E7F" w:rsidRPr="00617E7F" w:rsidRDefault="00617E7F" w:rsidP="00617E7F">
      <w:pPr>
        <w:spacing w:line="276" w:lineRule="auto"/>
        <w:ind w:firstLine="340"/>
        <w:jc w:val="both"/>
        <w:rPr>
          <w:sz w:val="22"/>
          <w:szCs w:val="22"/>
          <w:lang w:val="id-ID"/>
        </w:rPr>
      </w:pPr>
      <w:r w:rsidRPr="00617E7F">
        <w:rPr>
          <w:sz w:val="22"/>
          <w:szCs w:val="22"/>
          <w:lang w:val="id-ID"/>
        </w:rPr>
        <w:t xml:space="preserve">In the supply chain network of </w:t>
      </w:r>
      <w:r w:rsidR="00F85FE3">
        <w:rPr>
          <w:sz w:val="22"/>
          <w:szCs w:val="22"/>
          <w:lang w:val="id-ID"/>
        </w:rPr>
        <w:t>dadih</w:t>
      </w:r>
      <w:r w:rsidRPr="00617E7F">
        <w:rPr>
          <w:sz w:val="22"/>
          <w:szCs w:val="22"/>
          <w:lang w:val="id-ID"/>
        </w:rPr>
        <w:t xml:space="preserve"> products, the </w:t>
      </w:r>
      <w:r w:rsidR="00F85FE3">
        <w:rPr>
          <w:sz w:val="22"/>
          <w:szCs w:val="22"/>
          <w:lang w:val="id-ID"/>
        </w:rPr>
        <w:t>dadih</w:t>
      </w:r>
      <w:r w:rsidRPr="00617E7F">
        <w:rPr>
          <w:sz w:val="22"/>
          <w:szCs w:val="22"/>
          <w:lang w:val="id-ID"/>
        </w:rPr>
        <w:t xml:space="preserve"> product factory plays a role in processing milk that has been collected from milk supplier by fermentation. In general, the activities of the </w:t>
      </w:r>
      <w:r w:rsidR="00F85FE3">
        <w:rPr>
          <w:sz w:val="22"/>
          <w:szCs w:val="22"/>
          <w:lang w:val="id-ID"/>
        </w:rPr>
        <w:t>dadih</w:t>
      </w:r>
      <w:r w:rsidRPr="00617E7F">
        <w:rPr>
          <w:sz w:val="22"/>
          <w:szCs w:val="22"/>
          <w:lang w:val="id-ID"/>
        </w:rPr>
        <w:t xml:space="preserve"> </w:t>
      </w:r>
      <w:r w:rsidRPr="00617E7F">
        <w:rPr>
          <w:sz w:val="22"/>
          <w:szCs w:val="22"/>
          <w:lang w:val="id-ID"/>
        </w:rPr>
        <w:lastRenderedPageBreak/>
        <w:t xml:space="preserve">products are: (1) establishing a price agreement for cow's milk, (2) receiving milk supply, (3) processing milk into </w:t>
      </w:r>
      <w:r w:rsidR="00F85FE3">
        <w:rPr>
          <w:sz w:val="22"/>
          <w:szCs w:val="22"/>
          <w:lang w:val="id-ID"/>
        </w:rPr>
        <w:t>dadih</w:t>
      </w:r>
      <w:r w:rsidRPr="00617E7F">
        <w:rPr>
          <w:sz w:val="22"/>
          <w:szCs w:val="22"/>
          <w:lang w:val="id-ID"/>
        </w:rPr>
        <w:t xml:space="preserve"> products, and (4) distributing their products to various retailers. Processing of milk into </w:t>
      </w:r>
      <w:r w:rsidR="00F85FE3">
        <w:rPr>
          <w:sz w:val="22"/>
          <w:szCs w:val="22"/>
          <w:lang w:val="id-ID"/>
        </w:rPr>
        <w:t>dadih</w:t>
      </w:r>
      <w:r w:rsidRPr="00617E7F">
        <w:rPr>
          <w:sz w:val="22"/>
          <w:szCs w:val="22"/>
          <w:lang w:val="id-ID"/>
        </w:rPr>
        <w:t xml:space="preserve"> products is done by three simple steps, namely: (1) fermented milk for two days on the packaging, (2) packaging it with various packaging and size, (3) labelling the packaging. The average unit price for </w:t>
      </w:r>
      <w:r w:rsidR="00F85FE3">
        <w:rPr>
          <w:sz w:val="22"/>
          <w:szCs w:val="22"/>
          <w:lang w:val="id-ID"/>
        </w:rPr>
        <w:t>dadih</w:t>
      </w:r>
      <w:r w:rsidRPr="00617E7F">
        <w:rPr>
          <w:sz w:val="22"/>
          <w:szCs w:val="22"/>
          <w:lang w:val="id-ID"/>
        </w:rPr>
        <w:t xml:space="preserve"> products is between Rp 10,000 to Rp 15,000 per pack.</w:t>
      </w:r>
    </w:p>
    <w:p w:rsidR="00617E7F" w:rsidRDefault="00617E7F" w:rsidP="00617E7F">
      <w:pPr>
        <w:spacing w:line="276" w:lineRule="auto"/>
        <w:jc w:val="both"/>
        <w:rPr>
          <w:sz w:val="22"/>
          <w:szCs w:val="22"/>
          <w:lang w:val="id-ID"/>
        </w:rPr>
      </w:pPr>
    </w:p>
    <w:p w:rsidR="00617E7F" w:rsidRPr="00A601A9" w:rsidRDefault="00617E7F" w:rsidP="00617E7F">
      <w:pPr>
        <w:spacing w:line="276" w:lineRule="auto"/>
        <w:jc w:val="both"/>
        <w:rPr>
          <w:i/>
          <w:sz w:val="22"/>
          <w:szCs w:val="22"/>
          <w:lang w:val="id-ID"/>
        </w:rPr>
      </w:pPr>
      <w:r w:rsidRPr="00A601A9">
        <w:rPr>
          <w:i/>
          <w:sz w:val="22"/>
          <w:szCs w:val="22"/>
          <w:lang w:val="id-ID"/>
        </w:rPr>
        <w:t>Retail-level analysis</w:t>
      </w:r>
    </w:p>
    <w:p w:rsidR="00617E7F" w:rsidRPr="00617E7F" w:rsidRDefault="00617E7F" w:rsidP="00617E7F">
      <w:pPr>
        <w:spacing w:line="276" w:lineRule="auto"/>
        <w:ind w:firstLine="340"/>
        <w:jc w:val="both"/>
        <w:rPr>
          <w:sz w:val="22"/>
          <w:szCs w:val="22"/>
          <w:lang w:val="id-ID"/>
        </w:rPr>
      </w:pPr>
      <w:r w:rsidRPr="00617E7F">
        <w:rPr>
          <w:sz w:val="22"/>
          <w:szCs w:val="22"/>
          <w:lang w:val="id-ID"/>
        </w:rPr>
        <w:t xml:space="preserve">The </w:t>
      </w:r>
      <w:r w:rsidR="00F85FE3">
        <w:rPr>
          <w:sz w:val="22"/>
          <w:szCs w:val="22"/>
          <w:lang w:val="id-ID"/>
        </w:rPr>
        <w:t>dadih</w:t>
      </w:r>
      <w:r w:rsidRPr="00617E7F">
        <w:rPr>
          <w:sz w:val="22"/>
          <w:szCs w:val="22"/>
          <w:lang w:val="id-ID"/>
        </w:rPr>
        <w:t xml:space="preserve"> products factory will supply its products to prospective retailers to market their products. At the retailer level, there are several activities that occur, among others: (1) offering price agreements to suppliers, (2) receiving supplies from </w:t>
      </w:r>
      <w:r w:rsidR="00F85FE3">
        <w:rPr>
          <w:sz w:val="22"/>
          <w:szCs w:val="22"/>
          <w:lang w:val="id-ID"/>
        </w:rPr>
        <w:t>dadih</w:t>
      </w:r>
      <w:r w:rsidRPr="00617E7F">
        <w:rPr>
          <w:sz w:val="22"/>
          <w:szCs w:val="22"/>
          <w:lang w:val="id-ID"/>
        </w:rPr>
        <w:t xml:space="preserve"> products factories, and (3) marketing finished products to consumers. The price of </w:t>
      </w:r>
      <w:r w:rsidR="00F85FE3">
        <w:rPr>
          <w:sz w:val="22"/>
          <w:szCs w:val="22"/>
          <w:lang w:val="id-ID"/>
        </w:rPr>
        <w:t>dadih</w:t>
      </w:r>
      <w:r w:rsidRPr="00617E7F">
        <w:rPr>
          <w:sz w:val="22"/>
          <w:szCs w:val="22"/>
          <w:lang w:val="id-ID"/>
        </w:rPr>
        <w:t xml:space="preserve"> products that are set for final consumers at this level ranges from Rp 15,000 to Rp 20,000 per pack.</w:t>
      </w:r>
    </w:p>
    <w:p w:rsidR="00617E7F" w:rsidRPr="00260D2C" w:rsidRDefault="00617E7F" w:rsidP="00617E7F">
      <w:pPr>
        <w:spacing w:line="276" w:lineRule="auto"/>
        <w:jc w:val="both"/>
        <w:rPr>
          <w:i/>
          <w:sz w:val="22"/>
          <w:szCs w:val="22"/>
          <w:lang w:val="id-ID"/>
        </w:rPr>
      </w:pPr>
    </w:p>
    <w:p w:rsidR="00617E7F" w:rsidRPr="00260D2C" w:rsidRDefault="00617E7F" w:rsidP="00617E7F">
      <w:pPr>
        <w:spacing w:line="276" w:lineRule="auto"/>
        <w:jc w:val="both"/>
        <w:rPr>
          <w:i/>
          <w:sz w:val="22"/>
          <w:szCs w:val="22"/>
          <w:lang w:val="id-ID"/>
        </w:rPr>
      </w:pPr>
      <w:r w:rsidRPr="00260D2C">
        <w:rPr>
          <w:i/>
          <w:sz w:val="22"/>
          <w:szCs w:val="22"/>
          <w:lang w:val="id-ID"/>
        </w:rPr>
        <w:t>Consumer-level analysis</w:t>
      </w:r>
    </w:p>
    <w:p w:rsidR="00617E7F" w:rsidRPr="00617E7F" w:rsidRDefault="00617E7F" w:rsidP="00617E7F">
      <w:pPr>
        <w:spacing w:line="276" w:lineRule="auto"/>
        <w:ind w:firstLine="340"/>
        <w:jc w:val="both"/>
        <w:rPr>
          <w:sz w:val="22"/>
          <w:szCs w:val="22"/>
          <w:lang w:val="id-ID"/>
        </w:rPr>
      </w:pPr>
      <w:r w:rsidRPr="00617E7F">
        <w:rPr>
          <w:sz w:val="22"/>
          <w:szCs w:val="22"/>
          <w:lang w:val="id-ID"/>
        </w:rPr>
        <w:t xml:space="preserve">In the supply chain network of </w:t>
      </w:r>
      <w:r w:rsidR="00F85FE3">
        <w:rPr>
          <w:sz w:val="22"/>
          <w:szCs w:val="22"/>
          <w:lang w:val="id-ID"/>
        </w:rPr>
        <w:t>dadih</w:t>
      </w:r>
      <w:r w:rsidRPr="00617E7F">
        <w:rPr>
          <w:sz w:val="22"/>
          <w:szCs w:val="22"/>
          <w:lang w:val="id-ID"/>
        </w:rPr>
        <w:t xml:space="preserve"> products, the intended consumer is the final consumer in which there are two general activities undertaken, namely (1) buying </w:t>
      </w:r>
      <w:r w:rsidR="00F85FE3">
        <w:rPr>
          <w:sz w:val="22"/>
          <w:szCs w:val="22"/>
          <w:lang w:val="id-ID"/>
        </w:rPr>
        <w:t>dadih</w:t>
      </w:r>
      <w:r w:rsidRPr="00617E7F">
        <w:rPr>
          <w:sz w:val="22"/>
          <w:szCs w:val="22"/>
          <w:lang w:val="id-ID"/>
        </w:rPr>
        <w:t xml:space="preserve"> products at the retailer level and (2) using the product in accordance with their needs for health. The market segmentation of this product is intended for consumers of housewives.</w:t>
      </w:r>
    </w:p>
    <w:p w:rsidR="00617E7F" w:rsidRPr="00617E7F" w:rsidRDefault="00617E7F" w:rsidP="00617E7F">
      <w:pPr>
        <w:spacing w:line="276" w:lineRule="auto"/>
        <w:jc w:val="both"/>
        <w:rPr>
          <w:sz w:val="22"/>
          <w:szCs w:val="22"/>
          <w:lang w:val="id-ID"/>
        </w:rPr>
      </w:pPr>
    </w:p>
    <w:p w:rsidR="00617E7F" w:rsidRPr="00A601A9" w:rsidRDefault="00617E7F" w:rsidP="00617E7F">
      <w:pPr>
        <w:spacing w:line="276" w:lineRule="auto"/>
        <w:jc w:val="both"/>
        <w:rPr>
          <w:i/>
          <w:sz w:val="22"/>
          <w:szCs w:val="22"/>
          <w:lang w:val="id-ID"/>
        </w:rPr>
      </w:pPr>
      <w:r w:rsidRPr="00A601A9">
        <w:rPr>
          <w:i/>
          <w:sz w:val="22"/>
          <w:szCs w:val="22"/>
          <w:lang w:val="id-ID"/>
        </w:rPr>
        <w:t xml:space="preserve">Identify the risk of the supply chain of </w:t>
      </w:r>
      <w:r w:rsidR="00F85FE3" w:rsidRPr="00A601A9">
        <w:rPr>
          <w:i/>
          <w:sz w:val="22"/>
          <w:szCs w:val="22"/>
          <w:lang w:val="id-ID"/>
        </w:rPr>
        <w:t>dadih</w:t>
      </w:r>
    </w:p>
    <w:p w:rsidR="00617E7F" w:rsidRDefault="00617E7F" w:rsidP="00617E7F">
      <w:pPr>
        <w:spacing w:line="276" w:lineRule="auto"/>
        <w:ind w:firstLine="340"/>
        <w:jc w:val="both"/>
        <w:rPr>
          <w:sz w:val="22"/>
          <w:szCs w:val="22"/>
          <w:lang w:val="id-ID"/>
        </w:rPr>
      </w:pPr>
      <w:r w:rsidRPr="00617E7F">
        <w:rPr>
          <w:sz w:val="22"/>
          <w:szCs w:val="22"/>
          <w:lang w:val="id-ID"/>
        </w:rPr>
        <w:t xml:space="preserve">In the supply chain of </w:t>
      </w:r>
      <w:r w:rsidR="00F85FE3">
        <w:rPr>
          <w:sz w:val="22"/>
          <w:szCs w:val="22"/>
          <w:lang w:val="id-ID"/>
        </w:rPr>
        <w:t>dadih</w:t>
      </w:r>
      <w:r w:rsidRPr="00617E7F">
        <w:rPr>
          <w:sz w:val="22"/>
          <w:szCs w:val="22"/>
          <w:lang w:val="id-ID"/>
        </w:rPr>
        <w:t xml:space="preserve"> products, there are four involved actors: dairy farmers (X</w:t>
      </w:r>
      <w:r w:rsidRPr="00C460B6">
        <w:rPr>
          <w:sz w:val="22"/>
          <w:szCs w:val="22"/>
          <w:vertAlign w:val="subscript"/>
          <w:lang w:val="id-ID"/>
        </w:rPr>
        <w:t>1</w:t>
      </w:r>
      <w:r w:rsidRPr="00617E7F">
        <w:rPr>
          <w:sz w:val="22"/>
          <w:szCs w:val="22"/>
          <w:lang w:val="id-ID"/>
        </w:rPr>
        <w:t>), collectors (X</w:t>
      </w:r>
      <w:r w:rsidRPr="00C460B6">
        <w:rPr>
          <w:sz w:val="22"/>
          <w:szCs w:val="22"/>
          <w:vertAlign w:val="subscript"/>
          <w:lang w:val="id-ID"/>
        </w:rPr>
        <w:t>2</w:t>
      </w:r>
      <w:r w:rsidRPr="00617E7F">
        <w:rPr>
          <w:sz w:val="22"/>
          <w:szCs w:val="22"/>
          <w:lang w:val="id-ID"/>
        </w:rPr>
        <w:t>), curry producers (X</w:t>
      </w:r>
      <w:r w:rsidRPr="00C460B6">
        <w:rPr>
          <w:sz w:val="22"/>
          <w:szCs w:val="22"/>
          <w:vertAlign w:val="subscript"/>
          <w:lang w:val="id-ID"/>
        </w:rPr>
        <w:t>3</w:t>
      </w:r>
      <w:r w:rsidRPr="00617E7F">
        <w:rPr>
          <w:sz w:val="22"/>
          <w:szCs w:val="22"/>
          <w:lang w:val="id-ID"/>
        </w:rPr>
        <w:t>), and retailers (X</w:t>
      </w:r>
      <w:r w:rsidRPr="00C460B6">
        <w:rPr>
          <w:sz w:val="22"/>
          <w:szCs w:val="22"/>
          <w:vertAlign w:val="subscript"/>
          <w:lang w:val="id-ID"/>
        </w:rPr>
        <w:t>4</w:t>
      </w:r>
      <w:r w:rsidRPr="00617E7F">
        <w:rPr>
          <w:sz w:val="22"/>
          <w:szCs w:val="22"/>
          <w:lang w:val="id-ID"/>
        </w:rPr>
        <w:t>). Every actor in the supply chain has a risk that leads to a product failure probability (P</w:t>
      </w:r>
      <w:r w:rsidRPr="00C460B6">
        <w:rPr>
          <w:sz w:val="22"/>
          <w:szCs w:val="22"/>
          <w:vertAlign w:val="subscript"/>
          <w:lang w:val="id-ID"/>
        </w:rPr>
        <w:t>i</w:t>
      </w:r>
      <w:r w:rsidRPr="00617E7F">
        <w:rPr>
          <w:sz w:val="22"/>
          <w:szCs w:val="22"/>
          <w:lang w:val="id-ID"/>
        </w:rPr>
        <w:t xml:space="preserve">X). At this stage, risk is identified for each supply chain actor as well as possible product failure of any risk. Table 2 shows the identification of supply chain risk of </w:t>
      </w:r>
      <w:r w:rsidR="00F85FE3">
        <w:rPr>
          <w:sz w:val="22"/>
          <w:szCs w:val="22"/>
          <w:lang w:val="id-ID"/>
        </w:rPr>
        <w:t>dadih</w:t>
      </w:r>
      <w:r w:rsidRPr="00617E7F">
        <w:rPr>
          <w:sz w:val="22"/>
          <w:szCs w:val="22"/>
          <w:lang w:val="id-ID"/>
        </w:rPr>
        <w:t xml:space="preserve"> products. Based on the results obtained there are 52 risks from the whole supply chain consisting of 14 risks from dairy farmers, 12 risks on collectors, 15 risks on produ cursors, and 11 risks on product retailers.</w:t>
      </w:r>
      <w:r w:rsidR="004312BB" w:rsidRPr="00E12325">
        <w:rPr>
          <w:sz w:val="22"/>
          <w:szCs w:val="22"/>
          <w:lang w:val="id-ID"/>
        </w:rPr>
        <w:tab/>
      </w:r>
    </w:p>
    <w:p w:rsidR="00A601A9" w:rsidRPr="007D1108" w:rsidRDefault="00617E7F" w:rsidP="00A601A9">
      <w:pPr>
        <w:spacing w:line="276" w:lineRule="auto"/>
        <w:jc w:val="center"/>
        <w:rPr>
          <w:lang w:val="id-ID"/>
        </w:rPr>
      </w:pPr>
      <w:r w:rsidRPr="007D1108">
        <w:rPr>
          <w:lang w:val="id-ID"/>
        </w:rPr>
        <w:t xml:space="preserve">Table 2 </w:t>
      </w:r>
    </w:p>
    <w:p w:rsidR="00617E7F" w:rsidRPr="007D1108" w:rsidRDefault="00617E7F" w:rsidP="00A601A9">
      <w:pPr>
        <w:spacing w:line="276" w:lineRule="auto"/>
        <w:jc w:val="center"/>
        <w:rPr>
          <w:lang w:val="id-ID"/>
        </w:rPr>
      </w:pPr>
      <w:r w:rsidRPr="007D1108">
        <w:rPr>
          <w:lang w:val="id-ID"/>
        </w:rPr>
        <w:t>Results of identification of risk of whey supply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06"/>
        <w:gridCol w:w="1021"/>
      </w:tblGrid>
      <w:tr w:rsidR="00617E7F" w:rsidRPr="002C5537" w:rsidTr="00A601A9">
        <w:trPr>
          <w:jc w:val="center"/>
        </w:trPr>
        <w:tc>
          <w:tcPr>
            <w:tcW w:w="3829" w:type="dxa"/>
            <w:gridSpan w:val="2"/>
            <w:shd w:val="clear" w:color="auto" w:fill="auto"/>
          </w:tcPr>
          <w:p w:rsidR="00617E7F" w:rsidRPr="006F6CE9" w:rsidRDefault="00617E7F" w:rsidP="00820538">
            <w:pPr>
              <w:rPr>
                <w:rFonts w:eastAsia="Calibri"/>
                <w:sz w:val="16"/>
                <w:szCs w:val="22"/>
                <w:lang w:val="id-ID"/>
              </w:rPr>
            </w:pPr>
            <w:r w:rsidRPr="006F6CE9">
              <w:rPr>
                <w:rFonts w:eastAsia="Calibri"/>
                <w:sz w:val="16"/>
                <w:szCs w:val="22"/>
                <w:lang w:val="id-ID"/>
              </w:rPr>
              <w:t>Variabel risiko</w:t>
            </w:r>
          </w:p>
        </w:tc>
        <w:tc>
          <w:tcPr>
            <w:tcW w:w="1021" w:type="dxa"/>
            <w:shd w:val="clear" w:color="auto" w:fill="auto"/>
          </w:tcPr>
          <w:p w:rsidR="00617E7F" w:rsidRPr="006F6CE9" w:rsidRDefault="00617E7F" w:rsidP="00820538">
            <w:pPr>
              <w:rPr>
                <w:rFonts w:eastAsia="Calibri"/>
                <w:sz w:val="16"/>
                <w:szCs w:val="22"/>
                <w:lang w:val="id-ID"/>
              </w:rPr>
            </w:pPr>
            <w:r w:rsidRPr="006F6CE9">
              <w:rPr>
                <w:rFonts w:eastAsia="Calibri"/>
                <w:sz w:val="16"/>
                <w:szCs w:val="22"/>
                <w:lang w:val="id-ID"/>
              </w:rPr>
              <w:t>P</w:t>
            </w:r>
            <w:r w:rsidRPr="006F6CE9">
              <w:rPr>
                <w:rFonts w:eastAsia="Calibri"/>
                <w:sz w:val="16"/>
                <w:szCs w:val="22"/>
                <w:vertAlign w:val="subscript"/>
                <w:lang w:val="id-ID"/>
              </w:rPr>
              <w:t>i</w:t>
            </w:r>
            <w:r w:rsidRPr="006F6CE9">
              <w:rPr>
                <w:rFonts w:eastAsia="Calibri"/>
                <w:sz w:val="16"/>
                <w:szCs w:val="22"/>
                <w:lang w:val="id-ID"/>
              </w:rPr>
              <w:t>X</w:t>
            </w:r>
          </w:p>
        </w:tc>
      </w:tr>
      <w:tr w:rsidR="00820538" w:rsidRPr="002C5537" w:rsidTr="00A601A9">
        <w:trPr>
          <w:jc w:val="center"/>
        </w:trPr>
        <w:tc>
          <w:tcPr>
            <w:tcW w:w="523" w:type="dxa"/>
            <w:shd w:val="clear" w:color="auto" w:fill="auto"/>
          </w:tcPr>
          <w:p w:rsidR="00820538" w:rsidRPr="006F6CE9" w:rsidRDefault="00820538" w:rsidP="00820538">
            <w:pPr>
              <w:jc w:val="both"/>
              <w:rPr>
                <w:rFonts w:eastAsia="Calibri"/>
                <w:sz w:val="16"/>
                <w:szCs w:val="22"/>
                <w:lang w:val="id-ID"/>
              </w:rPr>
            </w:pPr>
            <w:r w:rsidRPr="006F6CE9">
              <w:rPr>
                <w:rFonts w:eastAsia="Calibri"/>
                <w:sz w:val="16"/>
                <w:szCs w:val="22"/>
                <w:lang w:val="id-ID"/>
              </w:rPr>
              <w:t>1</w:t>
            </w:r>
          </w:p>
        </w:tc>
        <w:tc>
          <w:tcPr>
            <w:tcW w:w="3306" w:type="dxa"/>
            <w:shd w:val="clear" w:color="auto" w:fill="auto"/>
          </w:tcPr>
          <w:p w:rsidR="00820538" w:rsidRPr="00CE10CB" w:rsidRDefault="00820538" w:rsidP="00820538">
            <w:r w:rsidRPr="00CE10CB">
              <w:t>Use of seeds</w:t>
            </w:r>
          </w:p>
        </w:tc>
        <w:tc>
          <w:tcPr>
            <w:tcW w:w="1021" w:type="dxa"/>
            <w:shd w:val="clear" w:color="auto" w:fill="auto"/>
          </w:tcPr>
          <w:p w:rsidR="00820538" w:rsidRPr="006F6CE9" w:rsidRDefault="00820538" w:rsidP="00820538">
            <w:pPr>
              <w:rPr>
                <w:rFonts w:eastAsia="Calibri"/>
                <w:sz w:val="16"/>
                <w:szCs w:val="22"/>
                <w:lang w:val="id-ID"/>
              </w:rPr>
            </w:pPr>
            <w:r w:rsidRPr="006F6CE9">
              <w:rPr>
                <w:rFonts w:eastAsia="Calibri"/>
                <w:sz w:val="16"/>
                <w:szCs w:val="22"/>
                <w:lang w:val="id-ID"/>
              </w:rPr>
              <w:t>0,1740</w:t>
            </w:r>
          </w:p>
        </w:tc>
      </w:tr>
      <w:tr w:rsidR="00820538" w:rsidRPr="002C5537" w:rsidTr="00A601A9">
        <w:trPr>
          <w:jc w:val="center"/>
        </w:trPr>
        <w:tc>
          <w:tcPr>
            <w:tcW w:w="523" w:type="dxa"/>
            <w:shd w:val="clear" w:color="auto" w:fill="auto"/>
          </w:tcPr>
          <w:p w:rsidR="00820538" w:rsidRPr="006F6CE9" w:rsidRDefault="00820538" w:rsidP="00820538">
            <w:pPr>
              <w:jc w:val="both"/>
              <w:rPr>
                <w:rFonts w:eastAsia="Calibri"/>
                <w:sz w:val="16"/>
                <w:szCs w:val="22"/>
                <w:lang w:val="id-ID"/>
              </w:rPr>
            </w:pPr>
            <w:r w:rsidRPr="006F6CE9">
              <w:rPr>
                <w:rFonts w:eastAsia="Calibri"/>
                <w:sz w:val="16"/>
                <w:szCs w:val="22"/>
                <w:lang w:val="id-ID"/>
              </w:rPr>
              <w:t>2</w:t>
            </w:r>
          </w:p>
        </w:tc>
        <w:tc>
          <w:tcPr>
            <w:tcW w:w="3306" w:type="dxa"/>
            <w:shd w:val="clear" w:color="auto" w:fill="auto"/>
          </w:tcPr>
          <w:p w:rsidR="00820538" w:rsidRPr="00CE10CB" w:rsidRDefault="00820538" w:rsidP="00820538">
            <w:r w:rsidRPr="00CE10CB">
              <w:t>Ideal location making cages</w:t>
            </w:r>
          </w:p>
        </w:tc>
        <w:tc>
          <w:tcPr>
            <w:tcW w:w="1021" w:type="dxa"/>
            <w:shd w:val="clear" w:color="auto" w:fill="auto"/>
          </w:tcPr>
          <w:p w:rsidR="00820538" w:rsidRPr="006F6CE9" w:rsidRDefault="00820538" w:rsidP="00820538">
            <w:pPr>
              <w:rPr>
                <w:rFonts w:eastAsia="Calibri"/>
                <w:sz w:val="16"/>
                <w:szCs w:val="22"/>
                <w:lang w:val="id-ID"/>
              </w:rPr>
            </w:pPr>
            <w:r w:rsidRPr="006F6CE9">
              <w:rPr>
                <w:rFonts w:eastAsia="Calibri"/>
                <w:sz w:val="16"/>
                <w:szCs w:val="22"/>
              </w:rPr>
              <w:t>0,</w:t>
            </w:r>
            <w:r w:rsidRPr="006F6CE9">
              <w:rPr>
                <w:rFonts w:eastAsia="Calibri"/>
                <w:sz w:val="16"/>
                <w:szCs w:val="22"/>
                <w:lang w:val="id-ID"/>
              </w:rPr>
              <w:t>3510</w:t>
            </w:r>
          </w:p>
        </w:tc>
      </w:tr>
      <w:tr w:rsidR="00820538" w:rsidRPr="002C5537" w:rsidTr="00A601A9">
        <w:trPr>
          <w:jc w:val="center"/>
        </w:trPr>
        <w:tc>
          <w:tcPr>
            <w:tcW w:w="523" w:type="dxa"/>
            <w:shd w:val="clear" w:color="auto" w:fill="auto"/>
          </w:tcPr>
          <w:p w:rsidR="00820538" w:rsidRPr="006F6CE9" w:rsidRDefault="00820538" w:rsidP="00820538">
            <w:pPr>
              <w:jc w:val="both"/>
              <w:rPr>
                <w:rFonts w:eastAsia="Calibri"/>
                <w:sz w:val="16"/>
                <w:szCs w:val="22"/>
                <w:lang w:val="id-ID"/>
              </w:rPr>
            </w:pPr>
            <w:r w:rsidRPr="006F6CE9">
              <w:rPr>
                <w:rFonts w:eastAsia="Calibri"/>
                <w:sz w:val="16"/>
                <w:szCs w:val="22"/>
                <w:lang w:val="id-ID"/>
              </w:rPr>
              <w:t>3</w:t>
            </w:r>
          </w:p>
        </w:tc>
        <w:tc>
          <w:tcPr>
            <w:tcW w:w="3306" w:type="dxa"/>
            <w:shd w:val="clear" w:color="auto" w:fill="auto"/>
          </w:tcPr>
          <w:p w:rsidR="00820538" w:rsidRPr="00CE10CB" w:rsidRDefault="00820538" w:rsidP="00820538">
            <w:r w:rsidRPr="00CE10CB">
              <w:t>Treatment of pests</w:t>
            </w:r>
          </w:p>
        </w:tc>
        <w:tc>
          <w:tcPr>
            <w:tcW w:w="1021" w:type="dxa"/>
            <w:shd w:val="clear" w:color="auto" w:fill="auto"/>
          </w:tcPr>
          <w:p w:rsidR="00820538" w:rsidRPr="006F6CE9" w:rsidRDefault="00820538" w:rsidP="00820538">
            <w:pPr>
              <w:rPr>
                <w:rFonts w:eastAsia="Calibri"/>
                <w:sz w:val="16"/>
                <w:szCs w:val="22"/>
                <w:lang w:val="id-ID"/>
              </w:rPr>
            </w:pPr>
            <w:r w:rsidRPr="006F6CE9">
              <w:rPr>
                <w:rFonts w:eastAsia="Calibri"/>
                <w:sz w:val="16"/>
                <w:szCs w:val="22"/>
              </w:rPr>
              <w:t>0,</w:t>
            </w:r>
            <w:r w:rsidRPr="006F6CE9">
              <w:rPr>
                <w:rFonts w:eastAsia="Calibri"/>
                <w:sz w:val="16"/>
                <w:szCs w:val="22"/>
                <w:lang w:val="id-ID"/>
              </w:rPr>
              <w:t>2798</w:t>
            </w:r>
          </w:p>
        </w:tc>
      </w:tr>
      <w:tr w:rsidR="00820538" w:rsidRPr="002C5537" w:rsidTr="00A601A9">
        <w:trPr>
          <w:jc w:val="center"/>
        </w:trPr>
        <w:tc>
          <w:tcPr>
            <w:tcW w:w="523" w:type="dxa"/>
            <w:shd w:val="clear" w:color="auto" w:fill="auto"/>
          </w:tcPr>
          <w:p w:rsidR="00820538" w:rsidRPr="006F6CE9" w:rsidRDefault="00820538" w:rsidP="00820538">
            <w:pPr>
              <w:jc w:val="both"/>
              <w:rPr>
                <w:rFonts w:eastAsia="Calibri"/>
                <w:sz w:val="16"/>
                <w:szCs w:val="22"/>
                <w:lang w:val="id-ID"/>
              </w:rPr>
            </w:pPr>
            <w:r w:rsidRPr="006F6CE9">
              <w:rPr>
                <w:rFonts w:eastAsia="Calibri"/>
                <w:sz w:val="16"/>
                <w:szCs w:val="22"/>
                <w:lang w:val="id-ID"/>
              </w:rPr>
              <w:t>4</w:t>
            </w:r>
          </w:p>
        </w:tc>
        <w:tc>
          <w:tcPr>
            <w:tcW w:w="3306" w:type="dxa"/>
            <w:shd w:val="clear" w:color="auto" w:fill="auto"/>
          </w:tcPr>
          <w:p w:rsidR="00820538" w:rsidRPr="00CE10CB" w:rsidRDefault="00820538" w:rsidP="00820538">
            <w:r w:rsidRPr="00CE10CB">
              <w:t>Standardization of pest handling</w:t>
            </w:r>
          </w:p>
        </w:tc>
        <w:tc>
          <w:tcPr>
            <w:tcW w:w="1021" w:type="dxa"/>
            <w:shd w:val="clear" w:color="auto" w:fill="auto"/>
          </w:tcPr>
          <w:p w:rsidR="00820538" w:rsidRPr="006F6CE9" w:rsidRDefault="00820538" w:rsidP="00820538">
            <w:pPr>
              <w:rPr>
                <w:rFonts w:eastAsia="Calibri"/>
                <w:sz w:val="16"/>
                <w:szCs w:val="22"/>
                <w:lang w:val="id-ID"/>
              </w:rPr>
            </w:pPr>
            <w:r w:rsidRPr="006F6CE9">
              <w:rPr>
                <w:rFonts w:eastAsia="Calibri"/>
                <w:sz w:val="16"/>
                <w:szCs w:val="22"/>
              </w:rPr>
              <w:t>0,</w:t>
            </w:r>
            <w:r w:rsidRPr="006F6CE9">
              <w:rPr>
                <w:rFonts w:eastAsia="Calibri"/>
                <w:sz w:val="16"/>
                <w:szCs w:val="22"/>
                <w:lang w:val="id-ID"/>
              </w:rPr>
              <w:t>9139</w:t>
            </w:r>
          </w:p>
        </w:tc>
      </w:tr>
      <w:tr w:rsidR="00820538" w:rsidRPr="002C5537" w:rsidTr="00A601A9">
        <w:trPr>
          <w:jc w:val="center"/>
        </w:trPr>
        <w:tc>
          <w:tcPr>
            <w:tcW w:w="523" w:type="dxa"/>
            <w:shd w:val="clear" w:color="auto" w:fill="auto"/>
          </w:tcPr>
          <w:p w:rsidR="00820538" w:rsidRPr="006F6CE9" w:rsidRDefault="00820538" w:rsidP="00820538">
            <w:pPr>
              <w:jc w:val="both"/>
              <w:rPr>
                <w:rFonts w:eastAsia="Calibri"/>
                <w:sz w:val="16"/>
                <w:szCs w:val="22"/>
                <w:lang w:val="id-ID"/>
              </w:rPr>
            </w:pPr>
          </w:p>
        </w:tc>
        <w:tc>
          <w:tcPr>
            <w:tcW w:w="3306" w:type="dxa"/>
            <w:shd w:val="clear" w:color="auto" w:fill="auto"/>
          </w:tcPr>
          <w:p w:rsidR="00820538" w:rsidRDefault="00820538" w:rsidP="00820538">
            <w:r w:rsidRPr="00CE10CB">
              <w:t>:</w:t>
            </w:r>
          </w:p>
          <w:p w:rsidR="00820538" w:rsidRPr="00820538" w:rsidRDefault="00820538" w:rsidP="00820538">
            <w:pPr>
              <w:rPr>
                <w:lang w:val="id-ID"/>
              </w:rPr>
            </w:pPr>
            <w:r>
              <w:rPr>
                <w:lang w:val="id-ID"/>
              </w:rPr>
              <w:t>:</w:t>
            </w:r>
          </w:p>
        </w:tc>
        <w:tc>
          <w:tcPr>
            <w:tcW w:w="1021" w:type="dxa"/>
            <w:shd w:val="clear" w:color="auto" w:fill="auto"/>
          </w:tcPr>
          <w:p w:rsidR="00820538" w:rsidRPr="006F6CE9" w:rsidRDefault="00820538" w:rsidP="00820538">
            <w:pPr>
              <w:rPr>
                <w:rFonts w:eastAsia="Calibri"/>
                <w:sz w:val="16"/>
                <w:szCs w:val="22"/>
              </w:rPr>
            </w:pPr>
            <w:r w:rsidRPr="006F6CE9">
              <w:rPr>
                <w:rFonts w:eastAsia="Calibri"/>
                <w:sz w:val="16"/>
                <w:szCs w:val="22"/>
              </w:rPr>
              <w:t>:</w:t>
            </w:r>
          </w:p>
          <w:p w:rsidR="00820538" w:rsidRPr="006F6CE9" w:rsidRDefault="00820538" w:rsidP="00820538">
            <w:pPr>
              <w:rPr>
                <w:rFonts w:eastAsia="Calibri"/>
                <w:sz w:val="16"/>
                <w:szCs w:val="22"/>
              </w:rPr>
            </w:pPr>
            <w:r w:rsidRPr="006F6CE9">
              <w:rPr>
                <w:rFonts w:eastAsia="Calibri"/>
                <w:sz w:val="16"/>
                <w:szCs w:val="22"/>
              </w:rPr>
              <w:t>:</w:t>
            </w:r>
          </w:p>
        </w:tc>
      </w:tr>
      <w:tr w:rsidR="00820538" w:rsidRPr="002C5537" w:rsidTr="00A601A9">
        <w:trPr>
          <w:jc w:val="center"/>
        </w:trPr>
        <w:tc>
          <w:tcPr>
            <w:tcW w:w="523" w:type="dxa"/>
            <w:shd w:val="clear" w:color="auto" w:fill="auto"/>
          </w:tcPr>
          <w:p w:rsidR="00820538" w:rsidRPr="006F6CE9" w:rsidRDefault="00820538" w:rsidP="00820538">
            <w:pPr>
              <w:jc w:val="both"/>
              <w:rPr>
                <w:rFonts w:eastAsia="Calibri"/>
                <w:sz w:val="16"/>
                <w:szCs w:val="22"/>
                <w:lang w:val="id-ID"/>
              </w:rPr>
            </w:pPr>
            <w:r w:rsidRPr="006F6CE9">
              <w:rPr>
                <w:rFonts w:eastAsia="Calibri"/>
                <w:sz w:val="16"/>
                <w:szCs w:val="22"/>
                <w:lang w:val="id-ID"/>
              </w:rPr>
              <w:t>5</w:t>
            </w:r>
          </w:p>
        </w:tc>
        <w:tc>
          <w:tcPr>
            <w:tcW w:w="3306" w:type="dxa"/>
            <w:shd w:val="clear" w:color="auto" w:fill="auto"/>
          </w:tcPr>
          <w:p w:rsidR="00820538" w:rsidRPr="00CE10CB" w:rsidRDefault="00820538" w:rsidP="00820538">
            <w:r>
              <w:t>Distribution Fee</w:t>
            </w:r>
          </w:p>
        </w:tc>
        <w:tc>
          <w:tcPr>
            <w:tcW w:w="1021" w:type="dxa"/>
            <w:shd w:val="clear" w:color="auto" w:fill="auto"/>
          </w:tcPr>
          <w:p w:rsidR="00820538" w:rsidRPr="006F6CE9" w:rsidRDefault="00820538" w:rsidP="00820538">
            <w:pPr>
              <w:rPr>
                <w:rFonts w:eastAsia="Calibri"/>
                <w:sz w:val="16"/>
                <w:szCs w:val="22"/>
              </w:rPr>
            </w:pPr>
            <w:r w:rsidRPr="006F6CE9">
              <w:rPr>
                <w:rFonts w:eastAsia="Calibri"/>
                <w:sz w:val="16"/>
                <w:szCs w:val="22"/>
              </w:rPr>
              <w:t>0,0374</w:t>
            </w:r>
          </w:p>
        </w:tc>
      </w:tr>
    </w:tbl>
    <w:p w:rsidR="00820538" w:rsidRDefault="00820538" w:rsidP="00820538">
      <w:pPr>
        <w:spacing w:line="276" w:lineRule="auto"/>
        <w:jc w:val="both"/>
        <w:rPr>
          <w:sz w:val="22"/>
          <w:szCs w:val="22"/>
          <w:lang w:val="id-ID"/>
        </w:rPr>
      </w:pPr>
    </w:p>
    <w:p w:rsidR="00820538" w:rsidRPr="00260D2C" w:rsidRDefault="00260D2C" w:rsidP="00260D2C">
      <w:pPr>
        <w:pStyle w:val="ListParagraph"/>
        <w:numPr>
          <w:ilvl w:val="1"/>
          <w:numId w:val="6"/>
        </w:numPr>
        <w:ind w:left="284" w:hanging="284"/>
        <w:rPr>
          <w:b/>
          <w:sz w:val="22"/>
          <w:szCs w:val="22"/>
          <w:lang w:val="id-ID"/>
        </w:rPr>
      </w:pPr>
      <w:r>
        <w:rPr>
          <w:b/>
          <w:sz w:val="22"/>
          <w:szCs w:val="22"/>
          <w:lang w:val="id-ID"/>
        </w:rPr>
        <w:t xml:space="preserve"> </w:t>
      </w:r>
      <w:r w:rsidR="00820538" w:rsidRPr="00260D2C">
        <w:rPr>
          <w:b/>
          <w:sz w:val="22"/>
          <w:szCs w:val="22"/>
          <w:lang w:val="id-ID"/>
        </w:rPr>
        <w:t>Risk Supply Chain Evaluation of Whey Products</w:t>
      </w:r>
    </w:p>
    <w:p w:rsidR="00617E7F" w:rsidRDefault="00820538" w:rsidP="00820538">
      <w:pPr>
        <w:spacing w:line="276" w:lineRule="auto"/>
        <w:ind w:firstLine="340"/>
        <w:jc w:val="both"/>
        <w:rPr>
          <w:sz w:val="22"/>
          <w:szCs w:val="22"/>
          <w:lang w:val="id-ID"/>
        </w:rPr>
      </w:pPr>
      <w:r w:rsidRPr="00820538">
        <w:rPr>
          <w:sz w:val="22"/>
          <w:szCs w:val="22"/>
          <w:lang w:val="id-ID"/>
        </w:rPr>
        <w:t xml:space="preserve">After identifying the risk then calculated the value added (βx) of each supply chain actor with the Hayami method approach. In the calculation used 1000 kg of cow's milk as a base and produced into 614.93 kg of </w:t>
      </w:r>
      <w:r w:rsidR="00F85FE3">
        <w:rPr>
          <w:sz w:val="22"/>
          <w:szCs w:val="22"/>
          <w:lang w:val="id-ID"/>
        </w:rPr>
        <w:t>dadih</w:t>
      </w:r>
      <w:r w:rsidRPr="00820538">
        <w:rPr>
          <w:sz w:val="22"/>
          <w:szCs w:val="22"/>
          <w:lang w:val="id-ID"/>
        </w:rPr>
        <w:t xml:space="preserve"> products. The result of the percentage of added value with the Haya</w:t>
      </w:r>
      <w:r w:rsidR="00260D2C">
        <w:rPr>
          <w:sz w:val="22"/>
          <w:szCs w:val="22"/>
          <w:lang w:val="id-ID"/>
        </w:rPr>
        <w:t>mi approach is shown in Figure 1</w:t>
      </w:r>
      <w:r w:rsidRPr="00820538">
        <w:rPr>
          <w:sz w:val="22"/>
          <w:szCs w:val="22"/>
          <w:lang w:val="id-ID"/>
        </w:rPr>
        <w:t>.</w:t>
      </w:r>
    </w:p>
    <w:p w:rsidR="00820538" w:rsidRDefault="00820538" w:rsidP="00820538">
      <w:pPr>
        <w:spacing w:line="276" w:lineRule="auto"/>
        <w:ind w:firstLine="340"/>
        <w:jc w:val="center"/>
        <w:rPr>
          <w:sz w:val="22"/>
          <w:szCs w:val="22"/>
          <w:lang w:val="id-ID"/>
        </w:rPr>
      </w:pPr>
      <w:r w:rsidRPr="0032334C">
        <w:rPr>
          <w:noProof/>
          <w:lang w:val="id-ID" w:eastAsia="id-ID"/>
        </w:rPr>
        <w:lastRenderedPageBreak/>
        <w:drawing>
          <wp:inline distT="0" distB="0" distL="0" distR="0">
            <wp:extent cx="3197225" cy="1551940"/>
            <wp:effectExtent l="0" t="0" r="3175" b="1016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1108" w:rsidRPr="007D1108" w:rsidRDefault="007D1108" w:rsidP="00820538">
      <w:pPr>
        <w:spacing w:line="276" w:lineRule="auto"/>
        <w:ind w:firstLine="340"/>
        <w:jc w:val="center"/>
        <w:rPr>
          <w:lang w:val="id-ID"/>
        </w:rPr>
      </w:pPr>
      <w:r>
        <w:rPr>
          <w:lang w:val="id-ID"/>
        </w:rPr>
        <w:t>Figure 1</w:t>
      </w:r>
    </w:p>
    <w:p w:rsidR="00820538" w:rsidRPr="007D1108" w:rsidRDefault="00820538" w:rsidP="00820538">
      <w:pPr>
        <w:spacing w:line="276" w:lineRule="auto"/>
        <w:ind w:firstLine="340"/>
        <w:jc w:val="center"/>
        <w:rPr>
          <w:lang w:val="id-ID"/>
        </w:rPr>
      </w:pPr>
      <w:r w:rsidRPr="007D1108">
        <w:rPr>
          <w:lang w:val="id-ID"/>
        </w:rPr>
        <w:t xml:space="preserve">The percentage of the added value of the supply chain of </w:t>
      </w:r>
      <w:r w:rsidR="00F85FE3" w:rsidRPr="007D1108">
        <w:rPr>
          <w:lang w:val="id-ID"/>
        </w:rPr>
        <w:t>dadih</w:t>
      </w:r>
      <w:r w:rsidRPr="007D1108">
        <w:rPr>
          <w:lang w:val="id-ID"/>
        </w:rPr>
        <w:t xml:space="preserve"> products</w:t>
      </w:r>
    </w:p>
    <w:p w:rsidR="00820538" w:rsidRDefault="00820538" w:rsidP="00820538">
      <w:pPr>
        <w:spacing w:line="276" w:lineRule="auto"/>
        <w:ind w:firstLine="340"/>
        <w:jc w:val="both"/>
        <w:rPr>
          <w:sz w:val="22"/>
          <w:szCs w:val="22"/>
          <w:lang w:val="id-ID"/>
        </w:rPr>
      </w:pPr>
      <w:r w:rsidRPr="00820538">
        <w:rPr>
          <w:sz w:val="22"/>
          <w:szCs w:val="22"/>
          <w:lang w:val="id-ID"/>
        </w:rPr>
        <w:t>Based on the results obtained, it can be seen that dairy farmers (X</w:t>
      </w:r>
      <w:r w:rsidRPr="00914E17">
        <w:rPr>
          <w:sz w:val="22"/>
          <w:szCs w:val="22"/>
          <w:vertAlign w:val="subscript"/>
          <w:lang w:val="id-ID"/>
        </w:rPr>
        <w:t>1</w:t>
      </w:r>
      <w:r w:rsidRPr="00820538">
        <w:rPr>
          <w:sz w:val="22"/>
          <w:szCs w:val="22"/>
          <w:lang w:val="id-ID"/>
        </w:rPr>
        <w:t xml:space="preserve">) has the highest added value in the whole network and followed by the producers of </w:t>
      </w:r>
      <w:r w:rsidR="00F85FE3">
        <w:rPr>
          <w:sz w:val="22"/>
          <w:szCs w:val="22"/>
          <w:lang w:val="id-ID"/>
        </w:rPr>
        <w:t>dadih</w:t>
      </w:r>
      <w:r w:rsidRPr="00820538">
        <w:rPr>
          <w:sz w:val="22"/>
          <w:szCs w:val="22"/>
          <w:lang w:val="id-ID"/>
        </w:rPr>
        <w:t xml:space="preserve"> products (X</w:t>
      </w:r>
      <w:r w:rsidRPr="00914E17">
        <w:rPr>
          <w:sz w:val="22"/>
          <w:szCs w:val="22"/>
          <w:vertAlign w:val="subscript"/>
          <w:lang w:val="id-ID"/>
        </w:rPr>
        <w:t>3</w:t>
      </w:r>
      <w:r w:rsidRPr="00820538">
        <w:rPr>
          <w:sz w:val="22"/>
          <w:szCs w:val="22"/>
          <w:lang w:val="id-ID"/>
        </w:rPr>
        <w:t>), collectors (X</w:t>
      </w:r>
      <w:r w:rsidRPr="00914E17">
        <w:rPr>
          <w:sz w:val="22"/>
          <w:szCs w:val="22"/>
          <w:vertAlign w:val="subscript"/>
          <w:lang w:val="id-ID"/>
        </w:rPr>
        <w:t>2</w:t>
      </w:r>
      <w:r w:rsidRPr="00820538">
        <w:rPr>
          <w:sz w:val="22"/>
          <w:szCs w:val="22"/>
          <w:lang w:val="id-ID"/>
        </w:rPr>
        <w:t>), and retailers (X</w:t>
      </w:r>
      <w:r w:rsidRPr="00914E17">
        <w:rPr>
          <w:sz w:val="22"/>
          <w:szCs w:val="22"/>
          <w:vertAlign w:val="subscript"/>
          <w:lang w:val="id-ID"/>
        </w:rPr>
        <w:t>4</w:t>
      </w:r>
      <w:r w:rsidRPr="00820538">
        <w:rPr>
          <w:sz w:val="22"/>
          <w:szCs w:val="22"/>
          <w:lang w:val="id-ID"/>
        </w:rPr>
        <w:t>). After that, we analyse the risk consequence value (α</w:t>
      </w:r>
      <w:r w:rsidRPr="00914E17">
        <w:rPr>
          <w:sz w:val="22"/>
          <w:szCs w:val="22"/>
          <w:vertAlign w:val="subscript"/>
          <w:lang w:val="id-ID"/>
        </w:rPr>
        <w:t>x</w:t>
      </w:r>
      <w:r w:rsidRPr="00820538">
        <w:rPr>
          <w:sz w:val="22"/>
          <w:szCs w:val="22"/>
          <w:lang w:val="id-ID"/>
        </w:rPr>
        <w:t xml:space="preserve">) on each chain actor classified into 4 categories as in Table 3. Then, using the information obtained, it can be calculated risk index of each actor </w:t>
      </w:r>
      <w:r>
        <w:rPr>
          <w:lang w:val="id-ID"/>
        </w:rPr>
        <w:t>(RI</w:t>
      </w:r>
      <w:r w:rsidRPr="00C1232D">
        <w:rPr>
          <w:vertAlign w:val="subscript"/>
          <w:lang w:val="id-ID"/>
        </w:rPr>
        <w:t>x</w:t>
      </w:r>
      <w:r>
        <w:rPr>
          <w:lang w:val="id-ID"/>
        </w:rPr>
        <w:t xml:space="preserve">) </w:t>
      </w:r>
      <w:r w:rsidRPr="00820538">
        <w:rPr>
          <w:sz w:val="22"/>
          <w:szCs w:val="22"/>
          <w:lang w:val="id-ID"/>
        </w:rPr>
        <w:t xml:space="preserve">as seen in Table 4. Also, it can also be obtained the proportion of the risk of each supply chain </w:t>
      </w:r>
      <w:r w:rsidR="00F85FE3">
        <w:rPr>
          <w:sz w:val="22"/>
          <w:szCs w:val="22"/>
          <w:lang w:val="id-ID"/>
        </w:rPr>
        <w:t>dadih</w:t>
      </w:r>
      <w:r w:rsidRPr="00820538">
        <w:rPr>
          <w:sz w:val="22"/>
          <w:szCs w:val="22"/>
          <w:lang w:val="id-ID"/>
        </w:rPr>
        <w:t xml:space="preserve"> product stakeholder seen in Figure 3.</w:t>
      </w:r>
    </w:p>
    <w:p w:rsidR="00914E17" w:rsidRDefault="00914E17" w:rsidP="00820538">
      <w:pPr>
        <w:spacing w:line="276" w:lineRule="auto"/>
        <w:ind w:firstLine="340"/>
        <w:jc w:val="center"/>
        <w:rPr>
          <w:sz w:val="22"/>
          <w:szCs w:val="22"/>
          <w:lang w:val="id-ID"/>
        </w:rPr>
      </w:pPr>
    </w:p>
    <w:p w:rsidR="007D1108" w:rsidRPr="007D1108" w:rsidRDefault="00820538" w:rsidP="00820538">
      <w:pPr>
        <w:spacing w:line="276" w:lineRule="auto"/>
        <w:ind w:firstLine="340"/>
        <w:jc w:val="center"/>
        <w:rPr>
          <w:lang w:val="id-ID"/>
        </w:rPr>
      </w:pPr>
      <w:r w:rsidRPr="007D1108">
        <w:rPr>
          <w:lang w:val="id-ID"/>
        </w:rPr>
        <w:t xml:space="preserve">Table 3 </w:t>
      </w:r>
    </w:p>
    <w:p w:rsidR="00820538" w:rsidRPr="007D1108" w:rsidRDefault="00820538" w:rsidP="00820538">
      <w:pPr>
        <w:spacing w:line="276" w:lineRule="auto"/>
        <w:ind w:firstLine="340"/>
        <w:jc w:val="center"/>
        <w:rPr>
          <w:lang w:val="id-ID"/>
        </w:rPr>
      </w:pPr>
      <w:r w:rsidRPr="007D1108">
        <w:rPr>
          <w:lang w:val="id-ID"/>
        </w:rPr>
        <w:t>Category of the value of consequences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7"/>
        <w:gridCol w:w="1617"/>
      </w:tblGrid>
      <w:tr w:rsidR="00820538" w:rsidRPr="00B0707C" w:rsidTr="00820538">
        <w:trPr>
          <w:jc w:val="center"/>
        </w:trPr>
        <w:tc>
          <w:tcPr>
            <w:tcW w:w="1616" w:type="dxa"/>
            <w:shd w:val="clear" w:color="auto" w:fill="auto"/>
          </w:tcPr>
          <w:p w:rsidR="00820538" w:rsidRPr="006F6CE9" w:rsidRDefault="00820538" w:rsidP="00820538">
            <w:pPr>
              <w:jc w:val="center"/>
              <w:rPr>
                <w:rFonts w:eastAsia="Calibri"/>
                <w:b/>
                <w:sz w:val="16"/>
                <w:szCs w:val="22"/>
              </w:rPr>
            </w:pPr>
            <w:r w:rsidRPr="006F6CE9">
              <w:rPr>
                <w:rFonts w:eastAsia="Calibri"/>
                <w:b/>
                <w:sz w:val="16"/>
                <w:szCs w:val="22"/>
              </w:rPr>
              <w:t>Consequence</w:t>
            </w:r>
          </w:p>
        </w:tc>
        <w:tc>
          <w:tcPr>
            <w:tcW w:w="1617" w:type="dxa"/>
            <w:shd w:val="clear" w:color="auto" w:fill="auto"/>
          </w:tcPr>
          <w:p w:rsidR="00820538" w:rsidRPr="006F6CE9" w:rsidRDefault="00820538" w:rsidP="00820538">
            <w:pPr>
              <w:jc w:val="center"/>
              <w:rPr>
                <w:rFonts w:eastAsia="Calibri"/>
                <w:b/>
                <w:sz w:val="16"/>
                <w:szCs w:val="22"/>
              </w:rPr>
            </w:pPr>
            <w:r w:rsidRPr="006F6CE9">
              <w:rPr>
                <w:rFonts w:eastAsia="Calibri"/>
                <w:b/>
                <w:sz w:val="16"/>
                <w:szCs w:val="22"/>
              </w:rPr>
              <w:t>Information</w:t>
            </w:r>
          </w:p>
        </w:tc>
        <w:tc>
          <w:tcPr>
            <w:tcW w:w="1617" w:type="dxa"/>
            <w:shd w:val="clear" w:color="auto" w:fill="auto"/>
          </w:tcPr>
          <w:p w:rsidR="00820538" w:rsidRPr="006F6CE9" w:rsidRDefault="00820538" w:rsidP="00820538">
            <w:pPr>
              <w:jc w:val="center"/>
              <w:rPr>
                <w:rFonts w:eastAsia="Calibri"/>
                <w:b/>
                <w:sz w:val="16"/>
                <w:szCs w:val="22"/>
              </w:rPr>
            </w:pPr>
            <w:r w:rsidRPr="006F6CE9">
              <w:rPr>
                <w:rFonts w:eastAsia="Calibri"/>
                <w:b/>
                <w:sz w:val="16"/>
                <w:szCs w:val="16"/>
              </w:rPr>
              <w:t>α</w:t>
            </w:r>
            <w:r w:rsidRPr="006F6CE9">
              <w:rPr>
                <w:rFonts w:eastAsia="Calibri"/>
                <w:b/>
                <w:sz w:val="16"/>
                <w:szCs w:val="16"/>
                <w:vertAlign w:val="subscript"/>
              </w:rPr>
              <w:t>x</w:t>
            </w:r>
          </w:p>
        </w:tc>
      </w:tr>
      <w:tr w:rsidR="00820538" w:rsidRPr="00B0707C" w:rsidTr="00820538">
        <w:trPr>
          <w:jc w:val="center"/>
        </w:trPr>
        <w:tc>
          <w:tcPr>
            <w:tcW w:w="1616"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Vital</w:t>
            </w:r>
          </w:p>
        </w:tc>
        <w:tc>
          <w:tcPr>
            <w:tcW w:w="1617"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No replacement</w:t>
            </w:r>
          </w:p>
        </w:tc>
        <w:tc>
          <w:tcPr>
            <w:tcW w:w="1617" w:type="dxa"/>
            <w:shd w:val="clear" w:color="auto" w:fill="auto"/>
          </w:tcPr>
          <w:p w:rsidR="00820538" w:rsidRPr="006F6CE9" w:rsidRDefault="00820538" w:rsidP="00820538">
            <w:pPr>
              <w:jc w:val="center"/>
              <w:rPr>
                <w:rFonts w:eastAsia="Calibri"/>
                <w:sz w:val="16"/>
                <w:szCs w:val="16"/>
              </w:rPr>
            </w:pPr>
            <w:r w:rsidRPr="006F6CE9">
              <w:rPr>
                <w:rFonts w:eastAsia="Calibri"/>
                <w:sz w:val="16"/>
                <w:szCs w:val="16"/>
              </w:rPr>
              <w:t>1,00</w:t>
            </w:r>
          </w:p>
        </w:tc>
      </w:tr>
      <w:tr w:rsidR="00820538" w:rsidRPr="00B0707C" w:rsidTr="00820538">
        <w:trPr>
          <w:jc w:val="center"/>
        </w:trPr>
        <w:tc>
          <w:tcPr>
            <w:tcW w:w="1616"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Necessary</w:t>
            </w:r>
          </w:p>
        </w:tc>
        <w:tc>
          <w:tcPr>
            <w:tcW w:w="1617"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Hard to replace</w:t>
            </w:r>
          </w:p>
        </w:tc>
        <w:tc>
          <w:tcPr>
            <w:tcW w:w="1617" w:type="dxa"/>
            <w:shd w:val="clear" w:color="auto" w:fill="auto"/>
          </w:tcPr>
          <w:p w:rsidR="00820538" w:rsidRPr="006F6CE9" w:rsidRDefault="00820538" w:rsidP="00820538">
            <w:pPr>
              <w:jc w:val="center"/>
              <w:rPr>
                <w:rFonts w:eastAsia="Calibri"/>
                <w:sz w:val="16"/>
                <w:szCs w:val="16"/>
              </w:rPr>
            </w:pPr>
            <w:r w:rsidRPr="006F6CE9">
              <w:rPr>
                <w:rFonts w:eastAsia="Calibri"/>
                <w:sz w:val="16"/>
                <w:szCs w:val="16"/>
              </w:rPr>
              <w:t>0,60</w:t>
            </w:r>
          </w:p>
        </w:tc>
      </w:tr>
      <w:tr w:rsidR="00820538" w:rsidRPr="00B0707C" w:rsidTr="00820538">
        <w:trPr>
          <w:jc w:val="center"/>
        </w:trPr>
        <w:tc>
          <w:tcPr>
            <w:tcW w:w="1616"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Necessary</w:t>
            </w:r>
          </w:p>
        </w:tc>
        <w:tc>
          <w:tcPr>
            <w:tcW w:w="1617"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Easy to replace</w:t>
            </w:r>
          </w:p>
        </w:tc>
        <w:tc>
          <w:tcPr>
            <w:tcW w:w="1617" w:type="dxa"/>
            <w:shd w:val="clear" w:color="auto" w:fill="auto"/>
          </w:tcPr>
          <w:p w:rsidR="00820538" w:rsidRPr="006F6CE9" w:rsidRDefault="00820538" w:rsidP="00820538">
            <w:pPr>
              <w:jc w:val="center"/>
              <w:rPr>
                <w:rFonts w:eastAsia="Calibri"/>
                <w:sz w:val="16"/>
                <w:szCs w:val="16"/>
              </w:rPr>
            </w:pPr>
            <w:r w:rsidRPr="006F6CE9">
              <w:rPr>
                <w:rFonts w:eastAsia="Calibri"/>
                <w:sz w:val="16"/>
                <w:szCs w:val="16"/>
              </w:rPr>
              <w:t>0,30</w:t>
            </w:r>
          </w:p>
        </w:tc>
      </w:tr>
      <w:tr w:rsidR="00820538" w:rsidRPr="00B0707C" w:rsidTr="00820538">
        <w:trPr>
          <w:jc w:val="center"/>
        </w:trPr>
        <w:tc>
          <w:tcPr>
            <w:tcW w:w="1616"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Desired</w:t>
            </w:r>
          </w:p>
        </w:tc>
        <w:tc>
          <w:tcPr>
            <w:tcW w:w="1617" w:type="dxa"/>
            <w:shd w:val="clear" w:color="auto" w:fill="auto"/>
          </w:tcPr>
          <w:p w:rsidR="00820538" w:rsidRPr="006F6CE9" w:rsidRDefault="00820538" w:rsidP="00820538">
            <w:pPr>
              <w:jc w:val="center"/>
              <w:rPr>
                <w:rFonts w:eastAsia="Calibri"/>
                <w:sz w:val="16"/>
                <w:szCs w:val="22"/>
              </w:rPr>
            </w:pPr>
            <w:r w:rsidRPr="006F6CE9">
              <w:rPr>
                <w:rFonts w:eastAsia="Calibri"/>
                <w:sz w:val="16"/>
                <w:szCs w:val="22"/>
              </w:rPr>
              <w:t>Easy to replace</w:t>
            </w:r>
          </w:p>
        </w:tc>
        <w:tc>
          <w:tcPr>
            <w:tcW w:w="1617" w:type="dxa"/>
            <w:shd w:val="clear" w:color="auto" w:fill="auto"/>
          </w:tcPr>
          <w:p w:rsidR="00820538" w:rsidRPr="006F6CE9" w:rsidRDefault="00820538" w:rsidP="00820538">
            <w:pPr>
              <w:jc w:val="center"/>
              <w:rPr>
                <w:rFonts w:eastAsia="Calibri"/>
                <w:sz w:val="16"/>
                <w:szCs w:val="16"/>
              </w:rPr>
            </w:pPr>
            <w:r w:rsidRPr="006F6CE9">
              <w:rPr>
                <w:rFonts w:eastAsia="Calibri"/>
                <w:sz w:val="16"/>
                <w:szCs w:val="16"/>
              </w:rPr>
              <w:t>0,10</w:t>
            </w:r>
          </w:p>
        </w:tc>
      </w:tr>
    </w:tbl>
    <w:p w:rsidR="00820538" w:rsidRDefault="00820538" w:rsidP="00820538">
      <w:pPr>
        <w:spacing w:line="276" w:lineRule="auto"/>
        <w:jc w:val="center"/>
        <w:rPr>
          <w:sz w:val="22"/>
          <w:szCs w:val="22"/>
          <w:lang w:val="id-ID"/>
        </w:rPr>
      </w:pPr>
    </w:p>
    <w:p w:rsidR="007D1108" w:rsidRPr="007D1108" w:rsidRDefault="00820538" w:rsidP="00820538">
      <w:pPr>
        <w:spacing w:line="276" w:lineRule="auto"/>
        <w:jc w:val="center"/>
        <w:rPr>
          <w:lang w:val="id-ID"/>
        </w:rPr>
      </w:pPr>
      <w:r w:rsidRPr="007D1108">
        <w:rPr>
          <w:lang w:val="id-ID"/>
        </w:rPr>
        <w:t xml:space="preserve">Table 4 </w:t>
      </w:r>
    </w:p>
    <w:p w:rsidR="00820538" w:rsidRPr="007D1108" w:rsidRDefault="00820538" w:rsidP="00820538">
      <w:pPr>
        <w:spacing w:line="276" w:lineRule="auto"/>
        <w:jc w:val="center"/>
        <w:rPr>
          <w:lang w:val="id-ID"/>
        </w:rPr>
      </w:pPr>
      <w:r w:rsidRPr="007D1108">
        <w:rPr>
          <w:lang w:val="id-ID"/>
        </w:rPr>
        <w:t>Results of the risk index of each supply chain actor</w:t>
      </w:r>
    </w:p>
    <w:tbl>
      <w:tblPr>
        <w:tblW w:w="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0"/>
        <w:gridCol w:w="708"/>
        <w:gridCol w:w="812"/>
        <w:gridCol w:w="702"/>
      </w:tblGrid>
      <w:tr w:rsidR="00820538" w:rsidRPr="00D72A27" w:rsidTr="00820538">
        <w:trPr>
          <w:trHeight w:val="300"/>
          <w:jc w:val="center"/>
        </w:trPr>
        <w:tc>
          <w:tcPr>
            <w:tcW w:w="1696" w:type="dxa"/>
            <w:shd w:val="clear" w:color="auto" w:fill="auto"/>
            <w:noWrap/>
            <w:vAlign w:val="center"/>
            <w:hideMark/>
          </w:tcPr>
          <w:p w:rsidR="00820538" w:rsidRPr="006F6CE9" w:rsidRDefault="00914E17" w:rsidP="00820538">
            <w:pPr>
              <w:jc w:val="both"/>
              <w:rPr>
                <w:rFonts w:eastAsia="Calibri"/>
                <w:b/>
                <w:sz w:val="16"/>
                <w:szCs w:val="16"/>
              </w:rPr>
            </w:pPr>
            <w:r w:rsidRPr="006F6CE9">
              <w:rPr>
                <w:rFonts w:eastAsia="Calibri"/>
                <w:b/>
                <w:sz w:val="16"/>
                <w:szCs w:val="16"/>
              </w:rPr>
              <w:t>X</w:t>
            </w:r>
          </w:p>
        </w:tc>
        <w:tc>
          <w:tcPr>
            <w:tcW w:w="850" w:type="dxa"/>
            <w:shd w:val="clear" w:color="auto" w:fill="auto"/>
            <w:noWrap/>
            <w:vAlign w:val="center"/>
            <w:hideMark/>
          </w:tcPr>
          <w:p w:rsidR="00820538" w:rsidRPr="006F6CE9" w:rsidRDefault="00820538" w:rsidP="00820538">
            <w:pPr>
              <w:rPr>
                <w:rFonts w:eastAsia="Calibri"/>
                <w:b/>
                <w:sz w:val="16"/>
                <w:szCs w:val="16"/>
              </w:rPr>
            </w:pPr>
            <w:r w:rsidRPr="006F6CE9">
              <w:rPr>
                <w:rFonts w:eastAsia="Calibri"/>
                <w:b/>
                <w:sz w:val="16"/>
                <w:szCs w:val="16"/>
              </w:rPr>
              <w:t>1</w:t>
            </w:r>
          </w:p>
        </w:tc>
        <w:tc>
          <w:tcPr>
            <w:tcW w:w="708" w:type="dxa"/>
            <w:shd w:val="clear" w:color="auto" w:fill="auto"/>
            <w:noWrap/>
            <w:vAlign w:val="center"/>
            <w:hideMark/>
          </w:tcPr>
          <w:p w:rsidR="00820538" w:rsidRPr="006F6CE9" w:rsidRDefault="00820538" w:rsidP="00820538">
            <w:pPr>
              <w:rPr>
                <w:rFonts w:eastAsia="Calibri"/>
                <w:b/>
                <w:sz w:val="16"/>
                <w:szCs w:val="16"/>
              </w:rPr>
            </w:pPr>
            <w:r w:rsidRPr="006F6CE9">
              <w:rPr>
                <w:rFonts w:eastAsia="Calibri"/>
                <w:b/>
                <w:sz w:val="16"/>
                <w:szCs w:val="16"/>
              </w:rPr>
              <w:t>2</w:t>
            </w:r>
          </w:p>
        </w:tc>
        <w:tc>
          <w:tcPr>
            <w:tcW w:w="812" w:type="dxa"/>
            <w:shd w:val="clear" w:color="auto" w:fill="auto"/>
            <w:noWrap/>
            <w:vAlign w:val="center"/>
            <w:hideMark/>
          </w:tcPr>
          <w:p w:rsidR="00820538" w:rsidRPr="006F6CE9" w:rsidRDefault="00820538" w:rsidP="00820538">
            <w:pPr>
              <w:rPr>
                <w:rFonts w:eastAsia="Calibri"/>
                <w:b/>
                <w:sz w:val="16"/>
                <w:szCs w:val="16"/>
              </w:rPr>
            </w:pPr>
            <w:r w:rsidRPr="006F6CE9">
              <w:rPr>
                <w:rFonts w:eastAsia="Calibri"/>
                <w:b/>
                <w:sz w:val="16"/>
                <w:szCs w:val="16"/>
              </w:rPr>
              <w:t>3</w:t>
            </w:r>
          </w:p>
        </w:tc>
        <w:tc>
          <w:tcPr>
            <w:tcW w:w="702" w:type="dxa"/>
            <w:shd w:val="clear" w:color="auto" w:fill="auto"/>
            <w:noWrap/>
            <w:vAlign w:val="center"/>
            <w:hideMark/>
          </w:tcPr>
          <w:p w:rsidR="00820538" w:rsidRPr="006F6CE9" w:rsidRDefault="00820538" w:rsidP="00820538">
            <w:pPr>
              <w:rPr>
                <w:rFonts w:eastAsia="Calibri"/>
                <w:b/>
                <w:sz w:val="16"/>
                <w:szCs w:val="16"/>
              </w:rPr>
            </w:pPr>
            <w:r w:rsidRPr="006F6CE9">
              <w:rPr>
                <w:rFonts w:eastAsia="Calibri"/>
                <w:b/>
                <w:sz w:val="16"/>
                <w:szCs w:val="16"/>
              </w:rPr>
              <w:t>4</w:t>
            </w:r>
          </w:p>
        </w:tc>
      </w:tr>
      <w:tr w:rsidR="00820538" w:rsidRPr="00997F27" w:rsidTr="00820538">
        <w:trPr>
          <w:trHeight w:val="300"/>
          <w:jc w:val="center"/>
        </w:trPr>
        <w:tc>
          <w:tcPr>
            <w:tcW w:w="1696" w:type="dxa"/>
            <w:shd w:val="clear" w:color="auto" w:fill="auto"/>
            <w:noWrap/>
            <w:vAlign w:val="center"/>
            <w:hideMark/>
          </w:tcPr>
          <w:p w:rsidR="00820538" w:rsidRPr="006F6CE9" w:rsidRDefault="00820538" w:rsidP="00820538">
            <w:pPr>
              <w:jc w:val="both"/>
              <w:rPr>
                <w:rFonts w:eastAsia="Calibri"/>
                <w:sz w:val="16"/>
                <w:szCs w:val="16"/>
              </w:rPr>
            </w:pPr>
            <w:r w:rsidRPr="006F6CE9">
              <w:rPr>
                <w:rFonts w:eastAsia="Calibri"/>
                <w:sz w:val="16"/>
                <w:szCs w:val="16"/>
              </w:rPr>
              <w:t>β</w:t>
            </w:r>
            <w:r w:rsidRPr="006F6CE9">
              <w:rPr>
                <w:rFonts w:eastAsia="Calibri"/>
                <w:sz w:val="16"/>
                <w:szCs w:val="16"/>
                <w:vertAlign w:val="subscript"/>
              </w:rPr>
              <w:t>x</w:t>
            </w:r>
          </w:p>
        </w:tc>
        <w:tc>
          <w:tcPr>
            <w:tcW w:w="850" w:type="dxa"/>
            <w:shd w:val="clear" w:color="auto" w:fill="auto"/>
            <w:noWrap/>
            <w:vAlign w:val="center"/>
            <w:hideMark/>
          </w:tcPr>
          <w:p w:rsidR="00820538" w:rsidRPr="006F6CE9" w:rsidRDefault="00820538" w:rsidP="00820538">
            <w:pPr>
              <w:rPr>
                <w:rFonts w:eastAsia="Calibri"/>
                <w:sz w:val="16"/>
                <w:szCs w:val="16"/>
                <w:lang w:val="id-ID"/>
              </w:rPr>
            </w:pPr>
            <w:r w:rsidRPr="006F6CE9">
              <w:rPr>
                <w:rFonts w:eastAsia="Calibri"/>
                <w:sz w:val="16"/>
                <w:szCs w:val="16"/>
                <w:lang w:val="id-ID"/>
              </w:rPr>
              <w:t>0,3694</w:t>
            </w:r>
          </w:p>
        </w:tc>
        <w:tc>
          <w:tcPr>
            <w:tcW w:w="708" w:type="dxa"/>
            <w:shd w:val="clear" w:color="auto" w:fill="auto"/>
            <w:noWrap/>
            <w:vAlign w:val="center"/>
            <w:hideMark/>
          </w:tcPr>
          <w:p w:rsidR="00820538" w:rsidRPr="006F6CE9" w:rsidRDefault="00820538" w:rsidP="00820538">
            <w:pPr>
              <w:rPr>
                <w:rFonts w:eastAsia="Calibri"/>
                <w:sz w:val="16"/>
                <w:szCs w:val="16"/>
                <w:lang w:val="id-ID"/>
              </w:rPr>
            </w:pPr>
            <w:r w:rsidRPr="006F6CE9">
              <w:rPr>
                <w:rFonts w:eastAsia="Calibri"/>
                <w:sz w:val="16"/>
                <w:szCs w:val="16"/>
                <w:lang w:val="id-ID"/>
              </w:rPr>
              <w:t>0,2060</w:t>
            </w:r>
          </w:p>
        </w:tc>
        <w:tc>
          <w:tcPr>
            <w:tcW w:w="812" w:type="dxa"/>
            <w:shd w:val="clear" w:color="auto" w:fill="auto"/>
            <w:noWrap/>
            <w:vAlign w:val="center"/>
            <w:hideMark/>
          </w:tcPr>
          <w:p w:rsidR="00820538" w:rsidRPr="006F6CE9" w:rsidRDefault="00820538" w:rsidP="00820538">
            <w:pPr>
              <w:rPr>
                <w:rFonts w:eastAsia="Calibri"/>
                <w:sz w:val="16"/>
                <w:szCs w:val="16"/>
                <w:lang w:val="id-ID"/>
              </w:rPr>
            </w:pPr>
            <w:r w:rsidRPr="006F6CE9">
              <w:rPr>
                <w:rFonts w:eastAsia="Calibri"/>
                <w:sz w:val="16"/>
                <w:szCs w:val="16"/>
                <w:lang w:val="id-ID"/>
              </w:rPr>
              <w:t>0,2108</w:t>
            </w:r>
          </w:p>
        </w:tc>
        <w:tc>
          <w:tcPr>
            <w:tcW w:w="702" w:type="dxa"/>
            <w:shd w:val="clear" w:color="auto" w:fill="auto"/>
            <w:noWrap/>
            <w:vAlign w:val="center"/>
            <w:hideMark/>
          </w:tcPr>
          <w:p w:rsidR="00820538" w:rsidRPr="006F6CE9" w:rsidRDefault="00820538" w:rsidP="00820538">
            <w:pPr>
              <w:rPr>
                <w:rFonts w:eastAsia="Calibri"/>
                <w:sz w:val="16"/>
                <w:szCs w:val="16"/>
                <w:lang w:val="id-ID"/>
              </w:rPr>
            </w:pPr>
            <w:r w:rsidRPr="006F6CE9">
              <w:rPr>
                <w:rFonts w:eastAsia="Calibri"/>
                <w:sz w:val="16"/>
                <w:szCs w:val="16"/>
                <w:lang w:val="id-ID"/>
              </w:rPr>
              <w:t>0,1500</w:t>
            </w:r>
          </w:p>
        </w:tc>
      </w:tr>
      <w:tr w:rsidR="00820538" w:rsidRPr="00997F27" w:rsidTr="00820538">
        <w:trPr>
          <w:trHeight w:val="300"/>
          <w:jc w:val="center"/>
        </w:trPr>
        <w:tc>
          <w:tcPr>
            <w:tcW w:w="1696" w:type="dxa"/>
            <w:shd w:val="clear" w:color="auto" w:fill="auto"/>
            <w:noWrap/>
            <w:vAlign w:val="center"/>
            <w:hideMark/>
          </w:tcPr>
          <w:p w:rsidR="00820538" w:rsidRPr="006F6CE9" w:rsidRDefault="00820538" w:rsidP="00820538">
            <w:pPr>
              <w:jc w:val="both"/>
              <w:rPr>
                <w:rFonts w:eastAsia="Calibri"/>
                <w:sz w:val="16"/>
                <w:szCs w:val="16"/>
              </w:rPr>
            </w:pPr>
            <w:r w:rsidRPr="006F6CE9">
              <w:rPr>
                <w:rFonts w:eastAsia="Calibri"/>
                <w:sz w:val="16"/>
                <w:szCs w:val="16"/>
              </w:rPr>
              <w:t>α</w:t>
            </w:r>
            <w:r w:rsidRPr="006F6CE9">
              <w:rPr>
                <w:rFonts w:eastAsia="Calibri"/>
                <w:sz w:val="16"/>
                <w:szCs w:val="16"/>
                <w:vertAlign w:val="subscript"/>
              </w:rPr>
              <w:t>x</w:t>
            </w:r>
          </w:p>
        </w:tc>
        <w:tc>
          <w:tcPr>
            <w:tcW w:w="850" w:type="dxa"/>
            <w:shd w:val="clear" w:color="auto" w:fill="auto"/>
            <w:noWrap/>
            <w:vAlign w:val="center"/>
            <w:hideMark/>
          </w:tcPr>
          <w:p w:rsidR="00820538" w:rsidRPr="006F6CE9" w:rsidRDefault="00820538" w:rsidP="00820538">
            <w:pPr>
              <w:rPr>
                <w:rFonts w:eastAsia="Calibri"/>
                <w:sz w:val="16"/>
                <w:szCs w:val="16"/>
                <w:lang w:val="id-ID"/>
              </w:rPr>
            </w:pPr>
            <w:r w:rsidRPr="006F6CE9">
              <w:rPr>
                <w:rFonts w:eastAsia="Calibri"/>
                <w:sz w:val="16"/>
                <w:szCs w:val="16"/>
                <w:lang w:val="id-ID"/>
              </w:rPr>
              <w:t>0,600</w:t>
            </w:r>
          </w:p>
        </w:tc>
        <w:tc>
          <w:tcPr>
            <w:tcW w:w="708" w:type="dxa"/>
            <w:shd w:val="clear" w:color="auto" w:fill="auto"/>
            <w:noWrap/>
            <w:vAlign w:val="center"/>
            <w:hideMark/>
          </w:tcPr>
          <w:p w:rsidR="00820538" w:rsidRPr="006F6CE9" w:rsidRDefault="00820538" w:rsidP="00820538">
            <w:pPr>
              <w:rPr>
                <w:rFonts w:eastAsia="Calibri"/>
                <w:sz w:val="16"/>
                <w:szCs w:val="16"/>
              </w:rPr>
            </w:pPr>
            <w:r w:rsidRPr="006F6CE9">
              <w:rPr>
                <w:rFonts w:eastAsia="Calibri"/>
                <w:sz w:val="16"/>
                <w:szCs w:val="16"/>
              </w:rPr>
              <w:t>0,300</w:t>
            </w:r>
          </w:p>
        </w:tc>
        <w:tc>
          <w:tcPr>
            <w:tcW w:w="812" w:type="dxa"/>
            <w:shd w:val="clear" w:color="auto" w:fill="auto"/>
            <w:noWrap/>
            <w:vAlign w:val="center"/>
            <w:hideMark/>
          </w:tcPr>
          <w:p w:rsidR="00820538" w:rsidRPr="006F6CE9" w:rsidRDefault="00820538" w:rsidP="00820538">
            <w:pPr>
              <w:rPr>
                <w:rFonts w:eastAsia="Calibri"/>
                <w:sz w:val="16"/>
                <w:szCs w:val="16"/>
              </w:rPr>
            </w:pPr>
            <w:r w:rsidRPr="006F6CE9">
              <w:rPr>
                <w:rFonts w:eastAsia="Calibri"/>
                <w:sz w:val="16"/>
                <w:szCs w:val="16"/>
              </w:rPr>
              <w:t>0,300</w:t>
            </w:r>
          </w:p>
        </w:tc>
        <w:tc>
          <w:tcPr>
            <w:tcW w:w="702" w:type="dxa"/>
            <w:shd w:val="clear" w:color="auto" w:fill="auto"/>
            <w:noWrap/>
            <w:vAlign w:val="center"/>
            <w:hideMark/>
          </w:tcPr>
          <w:p w:rsidR="00820538" w:rsidRPr="006F6CE9" w:rsidRDefault="00820538" w:rsidP="00820538">
            <w:pPr>
              <w:rPr>
                <w:rFonts w:eastAsia="Calibri"/>
                <w:sz w:val="16"/>
                <w:szCs w:val="16"/>
              </w:rPr>
            </w:pPr>
            <w:r w:rsidRPr="006F6CE9">
              <w:rPr>
                <w:rFonts w:eastAsia="Calibri"/>
                <w:sz w:val="16"/>
                <w:szCs w:val="16"/>
              </w:rPr>
              <w:t>0,300</w:t>
            </w:r>
          </w:p>
        </w:tc>
      </w:tr>
      <w:tr w:rsidR="00820538" w:rsidRPr="00997F27" w:rsidTr="00820538">
        <w:trPr>
          <w:trHeight w:val="300"/>
          <w:jc w:val="center"/>
        </w:trPr>
        <w:tc>
          <w:tcPr>
            <w:tcW w:w="1696" w:type="dxa"/>
            <w:shd w:val="clear" w:color="auto" w:fill="auto"/>
            <w:noWrap/>
            <w:vAlign w:val="center"/>
          </w:tcPr>
          <w:p w:rsidR="00820538" w:rsidRPr="00820538" w:rsidRDefault="00820538" w:rsidP="00820538">
            <w:pPr>
              <w:jc w:val="both"/>
              <w:rPr>
                <w:rFonts w:eastAsia="Calibri"/>
                <w:b/>
                <w:bCs/>
                <w:sz w:val="16"/>
                <w:szCs w:val="16"/>
              </w:rPr>
            </w:pPr>
            <m:oMathPara>
              <m:oMathParaPr>
                <m:jc m:val="left"/>
              </m:oMathParaPr>
              <m:oMath>
                <m:nary>
                  <m:naryPr>
                    <m:chr m:val="∏"/>
                    <m:limLoc m:val="undOvr"/>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n</m:t>
                    </m:r>
                  </m:sup>
                  <m:e>
                    <m:d>
                      <m:dPr>
                        <m:ctrlPr>
                          <w:rPr>
                            <w:rFonts w:ascii="Cambria Math" w:hAnsi="Cambria Math"/>
                            <w:i/>
                            <w:sz w:val="16"/>
                            <w:szCs w:val="16"/>
                          </w:rPr>
                        </m:ctrlPr>
                      </m:dPr>
                      <m:e>
                        <m:r>
                          <w:rPr>
                            <w:rFonts w:ascii="Cambria Math" w:hAnsi="Cambria Math"/>
                            <w:sz w:val="16"/>
                            <w:szCs w:val="16"/>
                          </w:rPr>
                          <m:t>1-P</m:t>
                        </m:r>
                        <m:d>
                          <m:dPr>
                            <m:ctrlPr>
                              <w:rPr>
                                <w:rFonts w:ascii="Cambria Math" w:hAnsi="Cambria Math"/>
                                <w:i/>
                                <w:sz w:val="16"/>
                                <w:szCs w:val="16"/>
                              </w:rPr>
                            </m:ctrlPr>
                          </m:dPr>
                          <m:e>
                            <m:sSub>
                              <m:sSubPr>
                                <m:ctrlPr>
                                  <w:rPr>
                                    <w:rFonts w:ascii="Cambria Math" w:hAnsi="Cambria Math"/>
                                    <w:i/>
                                    <w:sz w:val="16"/>
                                    <w:szCs w:val="16"/>
                                  </w:rPr>
                                </m:ctrlPr>
                              </m:sSubPr>
                              <m:e>
                                <m:acc>
                                  <m:accPr>
                                    <m:ctrlPr>
                                      <w:rPr>
                                        <w:rFonts w:ascii="Cambria Math" w:hAnsi="Cambria Math"/>
                                        <w:i/>
                                        <w:sz w:val="16"/>
                                        <w:szCs w:val="16"/>
                                      </w:rPr>
                                    </m:ctrlPr>
                                  </m:accPr>
                                  <m:e>
                                    <m:r>
                                      <w:rPr>
                                        <w:rFonts w:ascii="Cambria Math" w:hAnsi="Cambria Math"/>
                                        <w:sz w:val="16"/>
                                        <w:szCs w:val="16"/>
                                      </w:rPr>
                                      <m:t>S</m:t>
                                    </m:r>
                                  </m:e>
                                </m:acc>
                              </m:e>
                              <m:sub>
                                <m:r>
                                  <w:rPr>
                                    <w:rFonts w:ascii="Cambria Math" w:hAnsi="Cambria Math"/>
                                    <w:sz w:val="16"/>
                                    <w:szCs w:val="16"/>
                                  </w:rPr>
                                  <m:t>x</m:t>
                                </m:r>
                              </m:sub>
                            </m:sSub>
                          </m:e>
                        </m:d>
                      </m:e>
                    </m:d>
                  </m:e>
                </m:nary>
              </m:oMath>
            </m:oMathPara>
          </w:p>
        </w:tc>
        <w:tc>
          <w:tcPr>
            <w:tcW w:w="850" w:type="dxa"/>
            <w:shd w:val="clear" w:color="auto" w:fill="auto"/>
            <w:noWrap/>
            <w:vAlign w:val="center"/>
          </w:tcPr>
          <w:p w:rsidR="00820538" w:rsidRPr="006F6CE9" w:rsidRDefault="00820538" w:rsidP="00820538">
            <w:pPr>
              <w:rPr>
                <w:rFonts w:eastAsia="Calibri"/>
                <w:bCs/>
                <w:sz w:val="16"/>
                <w:szCs w:val="16"/>
                <w:lang w:val="id-ID"/>
              </w:rPr>
            </w:pPr>
            <w:r w:rsidRPr="006F6CE9">
              <w:rPr>
                <w:rFonts w:eastAsia="Calibri"/>
                <w:bCs/>
                <w:sz w:val="16"/>
                <w:szCs w:val="16"/>
                <w:lang w:val="id-ID"/>
              </w:rPr>
              <w:t>0,9999</w:t>
            </w:r>
          </w:p>
        </w:tc>
        <w:tc>
          <w:tcPr>
            <w:tcW w:w="708" w:type="dxa"/>
            <w:shd w:val="clear" w:color="auto" w:fill="auto"/>
            <w:noWrap/>
            <w:vAlign w:val="center"/>
          </w:tcPr>
          <w:p w:rsidR="00820538" w:rsidRPr="006F6CE9" w:rsidRDefault="00820538" w:rsidP="00820538">
            <w:pPr>
              <w:rPr>
                <w:rFonts w:eastAsia="Calibri"/>
                <w:bCs/>
                <w:sz w:val="16"/>
                <w:szCs w:val="16"/>
              </w:rPr>
            </w:pPr>
            <w:r w:rsidRPr="006F6CE9">
              <w:rPr>
                <w:rFonts w:eastAsia="Calibri"/>
                <w:bCs/>
                <w:sz w:val="16"/>
                <w:szCs w:val="16"/>
              </w:rPr>
              <w:t>0,9914</w:t>
            </w:r>
          </w:p>
        </w:tc>
        <w:tc>
          <w:tcPr>
            <w:tcW w:w="812" w:type="dxa"/>
            <w:shd w:val="clear" w:color="auto" w:fill="auto"/>
            <w:noWrap/>
            <w:vAlign w:val="center"/>
          </w:tcPr>
          <w:p w:rsidR="00820538" w:rsidRPr="006F6CE9" w:rsidRDefault="00820538" w:rsidP="00820538">
            <w:pPr>
              <w:rPr>
                <w:rFonts w:eastAsia="Calibri"/>
                <w:bCs/>
                <w:sz w:val="16"/>
                <w:szCs w:val="16"/>
                <w:lang w:val="id-ID"/>
              </w:rPr>
            </w:pPr>
            <w:r w:rsidRPr="006F6CE9">
              <w:rPr>
                <w:rFonts w:eastAsia="Calibri"/>
                <w:bCs/>
                <w:sz w:val="16"/>
                <w:szCs w:val="16"/>
                <w:lang w:val="id-ID"/>
              </w:rPr>
              <w:t>1</w:t>
            </w:r>
          </w:p>
        </w:tc>
        <w:tc>
          <w:tcPr>
            <w:tcW w:w="702" w:type="dxa"/>
            <w:shd w:val="clear" w:color="auto" w:fill="auto"/>
            <w:noWrap/>
            <w:vAlign w:val="center"/>
          </w:tcPr>
          <w:p w:rsidR="00820538" w:rsidRPr="006F6CE9" w:rsidRDefault="00820538" w:rsidP="00820538">
            <w:pPr>
              <w:rPr>
                <w:rFonts w:eastAsia="Calibri"/>
                <w:bCs/>
                <w:sz w:val="16"/>
                <w:szCs w:val="16"/>
                <w:lang w:val="id-ID"/>
              </w:rPr>
            </w:pPr>
            <w:r w:rsidRPr="006F6CE9">
              <w:rPr>
                <w:rFonts w:eastAsia="Calibri"/>
                <w:bCs/>
                <w:sz w:val="16"/>
                <w:szCs w:val="16"/>
                <w:lang w:val="id-ID"/>
              </w:rPr>
              <w:t>1</w:t>
            </w:r>
          </w:p>
        </w:tc>
      </w:tr>
      <w:tr w:rsidR="00820538" w:rsidRPr="00997F27" w:rsidTr="00820538">
        <w:trPr>
          <w:trHeight w:val="300"/>
          <w:jc w:val="center"/>
        </w:trPr>
        <w:tc>
          <w:tcPr>
            <w:tcW w:w="1696" w:type="dxa"/>
            <w:shd w:val="clear" w:color="auto" w:fill="auto"/>
            <w:noWrap/>
            <w:vAlign w:val="center"/>
            <w:hideMark/>
          </w:tcPr>
          <w:p w:rsidR="00820538" w:rsidRPr="006F6CE9" w:rsidRDefault="00820538" w:rsidP="00820538">
            <w:pPr>
              <w:jc w:val="both"/>
              <w:rPr>
                <w:rFonts w:eastAsia="Calibri"/>
                <w:b/>
                <w:bCs/>
                <w:sz w:val="16"/>
                <w:szCs w:val="16"/>
              </w:rPr>
            </w:pPr>
            <w:proofErr w:type="spellStart"/>
            <w:r w:rsidRPr="006F6CE9">
              <w:rPr>
                <w:rFonts w:eastAsia="Calibri"/>
                <w:b/>
                <w:bCs/>
                <w:sz w:val="16"/>
                <w:szCs w:val="16"/>
              </w:rPr>
              <w:t>RI</w:t>
            </w:r>
            <w:r w:rsidRPr="006F6CE9">
              <w:rPr>
                <w:rFonts w:eastAsia="Calibri"/>
                <w:b/>
                <w:bCs/>
                <w:sz w:val="16"/>
                <w:szCs w:val="16"/>
                <w:vertAlign w:val="subscript"/>
              </w:rPr>
              <w:t>x</w:t>
            </w:r>
            <w:proofErr w:type="spellEnd"/>
            <w:r w:rsidRPr="006F6CE9">
              <w:rPr>
                <w:rFonts w:eastAsia="Calibri"/>
                <w:b/>
                <w:bCs/>
                <w:sz w:val="16"/>
                <w:szCs w:val="16"/>
              </w:rPr>
              <w:t xml:space="preserve"> </w:t>
            </w:r>
          </w:p>
        </w:tc>
        <w:tc>
          <w:tcPr>
            <w:tcW w:w="850" w:type="dxa"/>
            <w:shd w:val="clear" w:color="auto" w:fill="auto"/>
            <w:noWrap/>
            <w:vAlign w:val="center"/>
            <w:hideMark/>
          </w:tcPr>
          <w:p w:rsidR="00820538" w:rsidRPr="006F6CE9" w:rsidRDefault="00820538" w:rsidP="00820538">
            <w:pPr>
              <w:rPr>
                <w:rFonts w:eastAsia="Calibri"/>
                <w:b/>
                <w:bCs/>
                <w:sz w:val="16"/>
                <w:szCs w:val="16"/>
                <w:lang w:val="id-ID"/>
              </w:rPr>
            </w:pPr>
            <w:r w:rsidRPr="006F6CE9">
              <w:rPr>
                <w:rFonts w:eastAsia="Calibri"/>
                <w:b/>
                <w:bCs/>
                <w:sz w:val="16"/>
                <w:szCs w:val="16"/>
                <w:lang w:val="id-ID"/>
              </w:rPr>
              <w:t>0,222</w:t>
            </w:r>
          </w:p>
        </w:tc>
        <w:tc>
          <w:tcPr>
            <w:tcW w:w="708" w:type="dxa"/>
            <w:shd w:val="clear" w:color="auto" w:fill="auto"/>
            <w:noWrap/>
            <w:vAlign w:val="center"/>
            <w:hideMark/>
          </w:tcPr>
          <w:p w:rsidR="00820538" w:rsidRPr="006F6CE9" w:rsidRDefault="00820538" w:rsidP="00820538">
            <w:pPr>
              <w:rPr>
                <w:rFonts w:eastAsia="Calibri"/>
                <w:b/>
                <w:bCs/>
                <w:sz w:val="16"/>
                <w:szCs w:val="16"/>
                <w:lang w:val="id-ID"/>
              </w:rPr>
            </w:pPr>
            <w:r w:rsidRPr="006F6CE9">
              <w:rPr>
                <w:rFonts w:eastAsia="Calibri"/>
                <w:b/>
                <w:bCs/>
                <w:sz w:val="16"/>
                <w:szCs w:val="16"/>
                <w:lang w:val="id-ID"/>
              </w:rPr>
              <w:t>0,061</w:t>
            </w:r>
          </w:p>
        </w:tc>
        <w:tc>
          <w:tcPr>
            <w:tcW w:w="812" w:type="dxa"/>
            <w:shd w:val="clear" w:color="auto" w:fill="auto"/>
            <w:noWrap/>
            <w:vAlign w:val="center"/>
            <w:hideMark/>
          </w:tcPr>
          <w:p w:rsidR="00820538" w:rsidRPr="006F6CE9" w:rsidRDefault="00820538" w:rsidP="00820538">
            <w:pPr>
              <w:rPr>
                <w:rFonts w:eastAsia="Calibri"/>
                <w:b/>
                <w:bCs/>
                <w:sz w:val="16"/>
                <w:szCs w:val="16"/>
                <w:lang w:val="id-ID"/>
              </w:rPr>
            </w:pPr>
            <w:r w:rsidRPr="006F6CE9">
              <w:rPr>
                <w:rFonts w:eastAsia="Calibri"/>
                <w:b/>
                <w:bCs/>
                <w:sz w:val="16"/>
                <w:szCs w:val="16"/>
                <w:lang w:val="id-ID"/>
              </w:rPr>
              <w:t>0,063</w:t>
            </w:r>
          </w:p>
        </w:tc>
        <w:tc>
          <w:tcPr>
            <w:tcW w:w="702" w:type="dxa"/>
            <w:shd w:val="clear" w:color="auto" w:fill="auto"/>
            <w:noWrap/>
            <w:vAlign w:val="center"/>
            <w:hideMark/>
          </w:tcPr>
          <w:p w:rsidR="00820538" w:rsidRPr="006F6CE9" w:rsidRDefault="00820538" w:rsidP="00820538">
            <w:pPr>
              <w:rPr>
                <w:rFonts w:eastAsia="Calibri"/>
                <w:b/>
                <w:bCs/>
                <w:sz w:val="16"/>
                <w:szCs w:val="16"/>
                <w:lang w:val="id-ID"/>
              </w:rPr>
            </w:pPr>
            <w:r w:rsidRPr="006F6CE9">
              <w:rPr>
                <w:rFonts w:eastAsia="Calibri"/>
                <w:b/>
                <w:bCs/>
                <w:sz w:val="16"/>
                <w:szCs w:val="16"/>
                <w:lang w:val="id-ID"/>
              </w:rPr>
              <w:t>0,045</w:t>
            </w:r>
          </w:p>
        </w:tc>
      </w:tr>
    </w:tbl>
    <w:p w:rsidR="00820538" w:rsidRDefault="00820538" w:rsidP="00820538">
      <w:pPr>
        <w:spacing w:line="276" w:lineRule="auto"/>
        <w:jc w:val="center"/>
        <w:rPr>
          <w:sz w:val="22"/>
          <w:szCs w:val="22"/>
          <w:lang w:val="id-ID"/>
        </w:rPr>
      </w:pPr>
    </w:p>
    <w:p w:rsidR="00820538" w:rsidRPr="00820538" w:rsidRDefault="00820538" w:rsidP="00820538">
      <w:pPr>
        <w:spacing w:line="276" w:lineRule="auto"/>
        <w:jc w:val="both"/>
        <w:rPr>
          <w:sz w:val="22"/>
          <w:szCs w:val="22"/>
          <w:lang w:val="id-ID"/>
        </w:rPr>
      </w:pPr>
    </w:p>
    <w:p w:rsidR="00820538" w:rsidRPr="00820538" w:rsidRDefault="00260D2C" w:rsidP="00820538">
      <w:pPr>
        <w:spacing w:line="276" w:lineRule="auto"/>
        <w:jc w:val="both"/>
        <w:rPr>
          <w:sz w:val="22"/>
          <w:szCs w:val="22"/>
          <w:lang w:val="id-ID"/>
        </w:rPr>
      </w:pPr>
      <w:r>
        <w:rPr>
          <w:sz w:val="22"/>
          <w:szCs w:val="22"/>
          <w:lang w:val="id-ID"/>
        </w:rPr>
        <w:t xml:space="preserve">3.3 </w:t>
      </w:r>
      <w:r w:rsidR="00820538" w:rsidRPr="00820538">
        <w:rPr>
          <w:sz w:val="22"/>
          <w:szCs w:val="22"/>
          <w:lang w:val="id-ID"/>
        </w:rPr>
        <w:t xml:space="preserve">Supply Chain Risk Management of </w:t>
      </w:r>
      <w:r w:rsidR="00F85FE3">
        <w:rPr>
          <w:sz w:val="22"/>
          <w:szCs w:val="22"/>
          <w:lang w:val="id-ID"/>
        </w:rPr>
        <w:t>Dadih</w:t>
      </w:r>
      <w:r w:rsidR="00820538" w:rsidRPr="00820538">
        <w:rPr>
          <w:sz w:val="22"/>
          <w:szCs w:val="22"/>
          <w:lang w:val="id-ID"/>
        </w:rPr>
        <w:t xml:space="preserve"> Products</w:t>
      </w:r>
    </w:p>
    <w:p w:rsidR="00820538" w:rsidRDefault="00820538" w:rsidP="00260D2C">
      <w:pPr>
        <w:spacing w:line="276" w:lineRule="auto"/>
        <w:ind w:firstLine="284"/>
        <w:jc w:val="both"/>
        <w:rPr>
          <w:sz w:val="22"/>
          <w:szCs w:val="22"/>
          <w:lang w:val="id-ID"/>
        </w:rPr>
      </w:pPr>
      <w:r w:rsidRPr="00820538">
        <w:rPr>
          <w:sz w:val="22"/>
          <w:szCs w:val="22"/>
          <w:lang w:val="id-ID"/>
        </w:rPr>
        <w:t xml:space="preserve">On the risk management of supply chain of </w:t>
      </w:r>
      <w:r w:rsidR="00F85FE3">
        <w:rPr>
          <w:sz w:val="22"/>
          <w:szCs w:val="22"/>
          <w:lang w:val="id-ID"/>
        </w:rPr>
        <w:t>dadih</w:t>
      </w:r>
      <w:r w:rsidRPr="00820538">
        <w:rPr>
          <w:sz w:val="22"/>
          <w:szCs w:val="22"/>
          <w:lang w:val="id-ID"/>
        </w:rPr>
        <w:t xml:space="preserve"> products using risk distribution used performance calculation using DEA to produce efficiency used for estimation of risk distribution model. The first performance of all DMUs in each supply chain actor is measured. The evaluated performance consists of 4 input attributes (total cost </w:t>
      </w:r>
      <w:r>
        <w:rPr>
          <w:lang w:val="id-ID"/>
        </w:rPr>
        <w:t>(I</w:t>
      </w:r>
      <w:r w:rsidRPr="0083270C">
        <w:rPr>
          <w:vertAlign w:val="subscript"/>
          <w:lang w:val="id-ID"/>
        </w:rPr>
        <w:t>1</w:t>
      </w:r>
      <w:r>
        <w:rPr>
          <w:lang w:val="id-ID"/>
        </w:rPr>
        <w:t>)</w:t>
      </w:r>
      <w:r w:rsidRPr="00820538">
        <w:rPr>
          <w:sz w:val="22"/>
          <w:szCs w:val="22"/>
          <w:lang w:val="id-ID"/>
        </w:rPr>
        <w:t xml:space="preserve">, order fulfillment time </w:t>
      </w:r>
      <w:r>
        <w:rPr>
          <w:lang w:val="id-ID"/>
        </w:rPr>
        <w:t>(I</w:t>
      </w:r>
      <w:r w:rsidRPr="0083270C">
        <w:rPr>
          <w:vertAlign w:val="subscript"/>
          <w:lang w:val="id-ID"/>
        </w:rPr>
        <w:t>2</w:t>
      </w:r>
      <w:r>
        <w:rPr>
          <w:lang w:val="id-ID"/>
        </w:rPr>
        <w:t>)</w:t>
      </w:r>
      <w:r w:rsidRPr="00820538">
        <w:rPr>
          <w:sz w:val="22"/>
          <w:szCs w:val="22"/>
          <w:lang w:val="id-ID"/>
        </w:rPr>
        <w:t xml:space="preserve">, product price </w:t>
      </w:r>
      <w:r>
        <w:rPr>
          <w:lang w:val="id-ID"/>
        </w:rPr>
        <w:t>(I</w:t>
      </w:r>
      <w:r w:rsidRPr="0083270C">
        <w:rPr>
          <w:vertAlign w:val="subscript"/>
          <w:lang w:val="id-ID"/>
        </w:rPr>
        <w:t>3</w:t>
      </w:r>
      <w:r>
        <w:rPr>
          <w:lang w:val="id-ID"/>
        </w:rPr>
        <w:t>)</w:t>
      </w:r>
      <w:r w:rsidRPr="00820538">
        <w:rPr>
          <w:sz w:val="22"/>
          <w:szCs w:val="22"/>
          <w:lang w:val="id-ID"/>
        </w:rPr>
        <w:t xml:space="preserve">, and risk index </w:t>
      </w:r>
      <w:r>
        <w:rPr>
          <w:lang w:val="id-ID"/>
        </w:rPr>
        <w:t>(I</w:t>
      </w:r>
      <w:r w:rsidRPr="0083270C">
        <w:rPr>
          <w:vertAlign w:val="subscript"/>
          <w:lang w:val="id-ID"/>
        </w:rPr>
        <w:t>3</w:t>
      </w:r>
      <w:r>
        <w:rPr>
          <w:lang w:val="id-ID"/>
        </w:rPr>
        <w:t>))</w:t>
      </w:r>
      <w:r w:rsidRPr="00820538">
        <w:rPr>
          <w:sz w:val="22"/>
          <w:szCs w:val="22"/>
          <w:lang w:val="id-ID"/>
        </w:rPr>
        <w:t xml:space="preserve">and there are 3 output attributes (quality </w:t>
      </w:r>
      <w:r>
        <w:rPr>
          <w:lang w:val="id-ID"/>
        </w:rPr>
        <w:t>O</w:t>
      </w:r>
      <w:r w:rsidRPr="00F74457">
        <w:rPr>
          <w:vertAlign w:val="subscript"/>
          <w:lang w:val="id-ID"/>
        </w:rPr>
        <w:t>1</w:t>
      </w:r>
      <w:r>
        <w:rPr>
          <w:lang w:val="id-ID"/>
        </w:rPr>
        <w:t xml:space="preserve">) </w:t>
      </w:r>
      <w:r w:rsidRPr="00820538">
        <w:rPr>
          <w:sz w:val="22"/>
          <w:szCs w:val="22"/>
          <w:lang w:val="id-ID"/>
        </w:rPr>
        <w:t xml:space="preserve"> order fulfillment </w:t>
      </w:r>
      <w:r>
        <w:rPr>
          <w:lang w:val="id-ID"/>
        </w:rPr>
        <w:t>(O</w:t>
      </w:r>
      <w:r w:rsidRPr="00F74457">
        <w:rPr>
          <w:vertAlign w:val="subscript"/>
          <w:lang w:val="id-ID"/>
        </w:rPr>
        <w:t>2</w:t>
      </w:r>
      <w:r>
        <w:rPr>
          <w:lang w:val="id-ID"/>
        </w:rPr>
        <w:t>)</w:t>
      </w:r>
      <w:r w:rsidRPr="00820538">
        <w:rPr>
          <w:sz w:val="22"/>
          <w:szCs w:val="22"/>
          <w:lang w:val="id-ID"/>
        </w:rPr>
        <w:t xml:space="preserve">, and the amount of supply </w:t>
      </w:r>
      <w:r>
        <w:rPr>
          <w:lang w:val="id-ID"/>
        </w:rPr>
        <w:t>(O</w:t>
      </w:r>
      <w:r w:rsidRPr="00F74457">
        <w:rPr>
          <w:vertAlign w:val="subscript"/>
          <w:lang w:val="id-ID"/>
        </w:rPr>
        <w:t>3</w:t>
      </w:r>
      <w:r>
        <w:rPr>
          <w:lang w:val="id-ID"/>
        </w:rPr>
        <w:t>)</w:t>
      </w:r>
      <w:r w:rsidRPr="00820538">
        <w:rPr>
          <w:sz w:val="22"/>
          <w:szCs w:val="22"/>
          <w:lang w:val="id-ID"/>
        </w:rPr>
        <w:t>.</w:t>
      </w:r>
      <w:r>
        <w:rPr>
          <w:sz w:val="22"/>
          <w:szCs w:val="22"/>
          <w:lang w:val="id-ID"/>
        </w:rPr>
        <w:t xml:space="preserve"> </w:t>
      </w:r>
      <w:r w:rsidRPr="00820538">
        <w:rPr>
          <w:sz w:val="22"/>
          <w:szCs w:val="22"/>
          <w:lang w:val="id-ID"/>
        </w:rPr>
        <w:t>Based on the data fed the calculated efficiency of each DMU using the DEA method shown in Table 5. Based on the performance calculation using DEA, then obtained results are used to calculate the optimum price of each actor using t</w:t>
      </w:r>
      <w:r w:rsidR="00260D2C">
        <w:rPr>
          <w:sz w:val="22"/>
          <w:szCs w:val="22"/>
          <w:lang w:val="id-ID"/>
        </w:rPr>
        <w:t>he risk distribution model. T</w:t>
      </w:r>
      <w:r w:rsidRPr="00820538">
        <w:rPr>
          <w:sz w:val="22"/>
          <w:szCs w:val="22"/>
          <w:lang w:val="id-ID"/>
        </w:rPr>
        <w:t>he model can be seen in Table 6.</w:t>
      </w:r>
    </w:p>
    <w:p w:rsidR="00260D2C" w:rsidRDefault="00260D2C" w:rsidP="00820538">
      <w:pPr>
        <w:spacing w:line="276" w:lineRule="auto"/>
        <w:jc w:val="center"/>
        <w:rPr>
          <w:lang w:val="id-ID"/>
        </w:rPr>
      </w:pPr>
    </w:p>
    <w:p w:rsidR="007D1108" w:rsidRPr="007D1108" w:rsidRDefault="00820538" w:rsidP="00820538">
      <w:pPr>
        <w:spacing w:line="276" w:lineRule="auto"/>
        <w:jc w:val="center"/>
        <w:rPr>
          <w:lang w:val="id-ID"/>
        </w:rPr>
      </w:pPr>
      <w:r w:rsidRPr="007D1108">
        <w:rPr>
          <w:lang w:val="id-ID"/>
        </w:rPr>
        <w:lastRenderedPageBreak/>
        <w:t xml:space="preserve">Table 5 </w:t>
      </w:r>
    </w:p>
    <w:p w:rsidR="00820538" w:rsidRPr="007D1108" w:rsidRDefault="00820538" w:rsidP="00820538">
      <w:pPr>
        <w:spacing w:line="276" w:lineRule="auto"/>
        <w:jc w:val="center"/>
        <w:rPr>
          <w:lang w:val="id-ID"/>
        </w:rPr>
      </w:pPr>
      <w:r w:rsidRPr="007D1108">
        <w:rPr>
          <w:lang w:val="id-ID"/>
        </w:rPr>
        <w:t>The results of efficiency measurements using the DEA method</w:t>
      </w:r>
    </w:p>
    <w:tbl>
      <w:tblPr>
        <w:tblW w:w="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64"/>
        <w:gridCol w:w="464"/>
        <w:gridCol w:w="760"/>
        <w:gridCol w:w="612"/>
        <w:gridCol w:w="957"/>
        <w:gridCol w:w="482"/>
        <w:gridCol w:w="760"/>
      </w:tblGrid>
      <w:tr w:rsidR="00820538" w:rsidRPr="00A92F66" w:rsidTr="00820538">
        <w:trPr>
          <w:jc w:val="center"/>
        </w:trPr>
        <w:tc>
          <w:tcPr>
            <w:tcW w:w="0" w:type="auto"/>
            <w:shd w:val="clear" w:color="auto" w:fill="auto"/>
          </w:tcPr>
          <w:p w:rsidR="00820538" w:rsidRPr="00D56BEA" w:rsidRDefault="00820538" w:rsidP="00820538">
            <w:pPr>
              <w:rPr>
                <w:rFonts w:eastAsia="Calibri"/>
                <w:b/>
                <w:sz w:val="16"/>
                <w:szCs w:val="16"/>
                <w:lang w:val="id-ID"/>
              </w:rPr>
            </w:pPr>
            <w:r w:rsidRPr="00D56BEA">
              <w:rPr>
                <w:rFonts w:eastAsia="Calibri"/>
                <w:b/>
                <w:sz w:val="16"/>
                <w:szCs w:val="16"/>
                <w:lang w:val="id-ID"/>
              </w:rPr>
              <w:t>Unit</w:t>
            </w:r>
          </w:p>
        </w:tc>
        <w:tc>
          <w:tcPr>
            <w:tcW w:w="0" w:type="auto"/>
            <w:shd w:val="clear" w:color="auto" w:fill="auto"/>
          </w:tcPr>
          <w:p w:rsidR="00820538" w:rsidRPr="00D56BEA" w:rsidRDefault="00820538" w:rsidP="00820538">
            <w:pPr>
              <w:rPr>
                <w:rFonts w:eastAsia="Calibri"/>
                <w:b/>
                <w:sz w:val="16"/>
                <w:szCs w:val="16"/>
              </w:rPr>
            </w:pPr>
            <w:r w:rsidRPr="00D56BEA">
              <w:rPr>
                <w:rFonts w:eastAsia="Calibri"/>
                <w:b/>
                <w:sz w:val="16"/>
                <w:szCs w:val="16"/>
              </w:rPr>
              <w:t>I</w:t>
            </w:r>
            <w:r w:rsidRPr="00D56BEA">
              <w:rPr>
                <w:rFonts w:eastAsia="Calibri"/>
                <w:b/>
                <w:sz w:val="16"/>
                <w:szCs w:val="16"/>
                <w:vertAlign w:val="subscript"/>
              </w:rPr>
              <w:t>1</w:t>
            </w:r>
          </w:p>
        </w:tc>
        <w:tc>
          <w:tcPr>
            <w:tcW w:w="0" w:type="auto"/>
            <w:shd w:val="clear" w:color="auto" w:fill="auto"/>
          </w:tcPr>
          <w:p w:rsidR="00820538" w:rsidRPr="00D56BEA" w:rsidRDefault="00820538" w:rsidP="00820538">
            <w:pPr>
              <w:rPr>
                <w:rFonts w:eastAsia="Calibri"/>
                <w:b/>
                <w:sz w:val="16"/>
                <w:szCs w:val="16"/>
              </w:rPr>
            </w:pPr>
            <w:r w:rsidRPr="00D56BEA">
              <w:rPr>
                <w:rFonts w:eastAsia="Calibri"/>
                <w:b/>
                <w:sz w:val="16"/>
                <w:szCs w:val="16"/>
              </w:rPr>
              <w:t>I</w:t>
            </w:r>
            <w:r w:rsidRPr="00D56BEA">
              <w:rPr>
                <w:rFonts w:eastAsia="Calibri"/>
                <w:b/>
                <w:sz w:val="16"/>
                <w:szCs w:val="16"/>
                <w:vertAlign w:val="subscript"/>
              </w:rPr>
              <w:t>2</w:t>
            </w:r>
          </w:p>
        </w:tc>
        <w:tc>
          <w:tcPr>
            <w:tcW w:w="0" w:type="auto"/>
            <w:shd w:val="clear" w:color="auto" w:fill="auto"/>
          </w:tcPr>
          <w:p w:rsidR="00820538" w:rsidRPr="00D56BEA" w:rsidRDefault="00820538" w:rsidP="00820538">
            <w:pPr>
              <w:rPr>
                <w:rFonts w:eastAsia="Calibri"/>
                <w:b/>
                <w:sz w:val="16"/>
                <w:szCs w:val="16"/>
              </w:rPr>
            </w:pPr>
            <w:r w:rsidRPr="00D56BEA">
              <w:rPr>
                <w:rFonts w:eastAsia="Calibri"/>
                <w:b/>
                <w:sz w:val="16"/>
                <w:szCs w:val="16"/>
              </w:rPr>
              <w:t>I</w:t>
            </w:r>
            <w:r w:rsidRPr="00D56BEA">
              <w:rPr>
                <w:rFonts w:eastAsia="Calibri"/>
                <w:b/>
                <w:sz w:val="16"/>
                <w:szCs w:val="16"/>
                <w:vertAlign w:val="subscript"/>
              </w:rPr>
              <w:t>3</w:t>
            </w:r>
          </w:p>
        </w:tc>
        <w:tc>
          <w:tcPr>
            <w:tcW w:w="0" w:type="auto"/>
            <w:shd w:val="clear" w:color="auto" w:fill="auto"/>
          </w:tcPr>
          <w:p w:rsidR="00820538" w:rsidRPr="00D56BEA" w:rsidRDefault="00820538" w:rsidP="00820538">
            <w:pPr>
              <w:rPr>
                <w:rFonts w:eastAsia="Calibri"/>
                <w:b/>
                <w:sz w:val="16"/>
                <w:szCs w:val="16"/>
              </w:rPr>
            </w:pPr>
            <w:r w:rsidRPr="00D56BEA">
              <w:rPr>
                <w:rFonts w:eastAsia="Calibri"/>
                <w:b/>
                <w:sz w:val="16"/>
                <w:szCs w:val="16"/>
              </w:rPr>
              <w:t>O</w:t>
            </w:r>
            <w:r w:rsidRPr="00D56BEA">
              <w:rPr>
                <w:rFonts w:eastAsia="Calibri"/>
                <w:b/>
                <w:sz w:val="16"/>
                <w:szCs w:val="16"/>
                <w:vertAlign w:val="subscript"/>
              </w:rPr>
              <w:t>1</w:t>
            </w:r>
          </w:p>
        </w:tc>
        <w:tc>
          <w:tcPr>
            <w:tcW w:w="0" w:type="auto"/>
            <w:shd w:val="clear" w:color="auto" w:fill="auto"/>
          </w:tcPr>
          <w:p w:rsidR="00820538" w:rsidRPr="00D56BEA" w:rsidRDefault="00820538" w:rsidP="00820538">
            <w:pPr>
              <w:rPr>
                <w:rFonts w:eastAsia="Calibri"/>
                <w:b/>
                <w:sz w:val="16"/>
                <w:szCs w:val="16"/>
              </w:rPr>
            </w:pPr>
            <w:r w:rsidRPr="00D56BEA">
              <w:rPr>
                <w:rFonts w:eastAsia="Calibri"/>
                <w:b/>
                <w:sz w:val="16"/>
                <w:szCs w:val="16"/>
              </w:rPr>
              <w:t>O</w:t>
            </w:r>
            <w:r w:rsidRPr="00D56BEA">
              <w:rPr>
                <w:rFonts w:eastAsia="Calibri"/>
                <w:b/>
                <w:sz w:val="16"/>
                <w:szCs w:val="16"/>
                <w:vertAlign w:val="subscript"/>
              </w:rPr>
              <w:t>2</w:t>
            </w:r>
          </w:p>
        </w:tc>
        <w:tc>
          <w:tcPr>
            <w:tcW w:w="0" w:type="auto"/>
            <w:shd w:val="clear" w:color="auto" w:fill="auto"/>
          </w:tcPr>
          <w:p w:rsidR="00820538" w:rsidRPr="00D56BEA" w:rsidRDefault="00820538" w:rsidP="00820538">
            <w:pPr>
              <w:rPr>
                <w:rFonts w:eastAsia="Calibri"/>
                <w:b/>
                <w:sz w:val="16"/>
                <w:szCs w:val="16"/>
              </w:rPr>
            </w:pPr>
            <w:r w:rsidRPr="00D56BEA">
              <w:rPr>
                <w:rFonts w:eastAsia="Calibri"/>
                <w:b/>
                <w:sz w:val="16"/>
                <w:szCs w:val="16"/>
              </w:rPr>
              <w:t>O</w:t>
            </w:r>
            <w:r w:rsidRPr="00D56BEA">
              <w:rPr>
                <w:rFonts w:eastAsia="Calibri"/>
                <w:b/>
                <w:sz w:val="16"/>
                <w:szCs w:val="16"/>
                <w:vertAlign w:val="subscript"/>
              </w:rPr>
              <w:t>3</w:t>
            </w:r>
          </w:p>
        </w:tc>
        <w:tc>
          <w:tcPr>
            <w:tcW w:w="0" w:type="auto"/>
            <w:shd w:val="clear" w:color="auto" w:fill="auto"/>
          </w:tcPr>
          <w:p w:rsidR="00820538" w:rsidRPr="00820538" w:rsidRDefault="00820538" w:rsidP="00820538">
            <w:pPr>
              <w:rPr>
                <w:rFonts w:eastAsia="Calibri"/>
                <w:b/>
                <w:sz w:val="16"/>
                <w:szCs w:val="16"/>
              </w:rPr>
            </w:pPr>
            <m:oMathPara>
              <m:oMath>
                <m:sSub>
                  <m:sSubPr>
                    <m:ctrlPr>
                      <w:rPr>
                        <w:rFonts w:ascii="Cambria Math" w:hAnsi="Cambria Math"/>
                        <w:b/>
                        <w:i/>
                        <w:sz w:val="16"/>
                        <w:szCs w:val="16"/>
                        <w:lang w:val="id-ID"/>
                      </w:rPr>
                    </m:ctrlPr>
                  </m:sSubPr>
                  <m:e>
                    <m:r>
                      <m:rPr>
                        <m:sty m:val="bi"/>
                      </m:rPr>
                      <w:rPr>
                        <w:rFonts w:ascii="Cambria Math" w:hAnsi="Cambria Math"/>
                        <w:sz w:val="16"/>
                        <w:szCs w:val="16"/>
                        <w:lang w:val="id-ID"/>
                      </w:rPr>
                      <m:t>θ</m:t>
                    </m:r>
                  </m:e>
                  <m:sub>
                    <m:r>
                      <m:rPr>
                        <m:sty m:val="bi"/>
                      </m:rPr>
                      <w:rPr>
                        <w:rFonts w:ascii="Cambria Math" w:hAnsi="Cambria Math"/>
                        <w:sz w:val="16"/>
                        <w:szCs w:val="16"/>
                        <w:lang w:val="id-ID"/>
                      </w:rPr>
                      <m:t>yi</m:t>
                    </m:r>
                  </m:sub>
                </m:sSub>
              </m:oMath>
            </m:oMathPara>
          </w:p>
        </w:tc>
      </w:tr>
      <w:tr w:rsidR="00820538" w:rsidRPr="00A92F66" w:rsidTr="00820538">
        <w:trPr>
          <w:jc w:val="center"/>
        </w:trPr>
        <w:tc>
          <w:tcPr>
            <w:tcW w:w="0" w:type="auto"/>
            <w:shd w:val="clear" w:color="auto" w:fill="auto"/>
          </w:tcPr>
          <w:p w:rsidR="00820538" w:rsidRPr="00D56BEA" w:rsidRDefault="00820538" w:rsidP="00820538">
            <w:pPr>
              <w:jc w:val="both"/>
              <w:rPr>
                <w:rFonts w:eastAsia="Calibri"/>
                <w:sz w:val="16"/>
                <w:szCs w:val="16"/>
              </w:rPr>
            </w:pPr>
            <w:r w:rsidRPr="00D56BEA">
              <w:rPr>
                <w:rFonts w:eastAsia="Calibri"/>
                <w:sz w:val="16"/>
                <w:szCs w:val="16"/>
              </w:rPr>
              <w:t>DMU</w:t>
            </w:r>
            <w:r w:rsidRPr="00D56BEA">
              <w:rPr>
                <w:rFonts w:eastAsia="Calibri"/>
                <w:sz w:val="16"/>
                <w:szCs w:val="16"/>
                <w:vertAlign w:val="subscript"/>
              </w:rPr>
              <w:t>11</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85</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40</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43816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0,06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2094729</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4536</w:t>
            </w:r>
          </w:p>
        </w:tc>
      </w:tr>
      <w:tr w:rsidR="00820538" w:rsidRPr="00A92F66" w:rsidTr="00820538">
        <w:trPr>
          <w:jc w:val="center"/>
        </w:trPr>
        <w:tc>
          <w:tcPr>
            <w:tcW w:w="0" w:type="auto"/>
            <w:shd w:val="clear" w:color="auto" w:fill="auto"/>
          </w:tcPr>
          <w:p w:rsidR="00820538" w:rsidRPr="00D56BEA" w:rsidRDefault="00820538" w:rsidP="00820538">
            <w:pPr>
              <w:jc w:val="both"/>
              <w:rPr>
                <w:rFonts w:eastAsia="Calibri"/>
                <w:sz w:val="16"/>
                <w:szCs w:val="16"/>
              </w:rPr>
            </w:pPr>
            <w:r w:rsidRPr="00D56BEA">
              <w:rPr>
                <w:rFonts w:eastAsia="Calibri"/>
                <w:sz w:val="16"/>
                <w:szCs w:val="16"/>
              </w:rPr>
              <w:t>DMU</w:t>
            </w:r>
            <w:r w:rsidRPr="00D56BEA">
              <w:rPr>
                <w:rFonts w:eastAsia="Calibri"/>
                <w:sz w:val="16"/>
                <w:szCs w:val="16"/>
                <w:vertAlign w:val="subscript"/>
              </w:rPr>
              <w:t>12</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51</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93</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11681</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0,06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2143503</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7</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4795</w:t>
            </w:r>
          </w:p>
        </w:tc>
      </w:tr>
      <w:tr w:rsidR="00820538" w:rsidRPr="00A92F66" w:rsidTr="00820538">
        <w:trPr>
          <w:jc w:val="center"/>
        </w:trPr>
        <w:tc>
          <w:tcPr>
            <w:tcW w:w="0" w:type="auto"/>
            <w:shd w:val="clear" w:color="auto" w:fill="auto"/>
          </w:tcPr>
          <w:p w:rsidR="00820538" w:rsidRPr="00D56BEA" w:rsidRDefault="00820538" w:rsidP="00820538">
            <w:pPr>
              <w:jc w:val="both"/>
              <w:rPr>
                <w:rFonts w:eastAsia="Calibri"/>
                <w:sz w:val="16"/>
                <w:szCs w:val="16"/>
              </w:rPr>
            </w:pPr>
            <w:r w:rsidRPr="00D56BEA">
              <w:rPr>
                <w:rFonts w:eastAsia="Calibri"/>
                <w:sz w:val="16"/>
                <w:szCs w:val="16"/>
              </w:rPr>
              <w:t>DMU</w:t>
            </w:r>
            <w:r w:rsidRPr="00D56BEA">
              <w:rPr>
                <w:rFonts w:eastAsia="Calibri"/>
                <w:sz w:val="16"/>
                <w:szCs w:val="16"/>
                <w:vertAlign w:val="subscript"/>
              </w:rPr>
              <w:t>13</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77</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82</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24266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0,06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2244707</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6</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4892</w:t>
            </w:r>
          </w:p>
        </w:tc>
      </w:tr>
      <w:tr w:rsidR="00820538" w:rsidRPr="00A92F66" w:rsidTr="00820538">
        <w:trPr>
          <w:jc w:val="center"/>
        </w:trPr>
        <w:tc>
          <w:tcPr>
            <w:tcW w:w="0" w:type="auto"/>
            <w:shd w:val="clear" w:color="auto" w:fill="auto"/>
          </w:tcPr>
          <w:p w:rsidR="00820538" w:rsidRPr="00D56BEA" w:rsidRDefault="00820538" w:rsidP="00820538">
            <w:pPr>
              <w:rPr>
                <w:rFonts w:eastAsia="Calibri"/>
                <w:sz w:val="16"/>
                <w:szCs w:val="16"/>
              </w:rPr>
            </w:pPr>
            <w:r w:rsidRPr="00D56BEA">
              <w:rPr>
                <w:rFonts w:eastAsia="Calibri"/>
                <w:sz w:val="16"/>
                <w:szCs w:val="16"/>
              </w:rPr>
              <w:t>:</w:t>
            </w:r>
          </w:p>
          <w:p w:rsidR="00820538" w:rsidRPr="00D56BEA" w:rsidRDefault="00820538" w:rsidP="00820538">
            <w:pPr>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c>
          <w:tcPr>
            <w:tcW w:w="0" w:type="auto"/>
            <w:shd w:val="clear" w:color="auto" w:fill="auto"/>
          </w:tcPr>
          <w:p w:rsidR="00820538" w:rsidRPr="00D56BEA" w:rsidRDefault="00820538" w:rsidP="00820538">
            <w:pPr>
              <w:jc w:val="right"/>
              <w:rPr>
                <w:rFonts w:eastAsia="Calibri"/>
                <w:sz w:val="16"/>
                <w:szCs w:val="16"/>
              </w:rPr>
            </w:pPr>
            <w:r w:rsidRPr="00D56BEA">
              <w:rPr>
                <w:rFonts w:eastAsia="Calibri"/>
                <w:sz w:val="16"/>
                <w:szCs w:val="16"/>
              </w:rPr>
              <w:t>:</w:t>
            </w:r>
          </w:p>
          <w:p w:rsidR="00820538" w:rsidRPr="00D56BEA" w:rsidRDefault="00820538" w:rsidP="00820538">
            <w:pPr>
              <w:jc w:val="right"/>
              <w:rPr>
                <w:rFonts w:eastAsia="Calibri"/>
                <w:sz w:val="16"/>
                <w:szCs w:val="16"/>
              </w:rPr>
            </w:pPr>
            <w:r w:rsidRPr="00D56BEA">
              <w:rPr>
                <w:rFonts w:eastAsia="Calibri"/>
                <w:sz w:val="16"/>
                <w:szCs w:val="16"/>
              </w:rPr>
              <w:t>:</w:t>
            </w:r>
          </w:p>
        </w:tc>
      </w:tr>
      <w:tr w:rsidR="00820538" w:rsidRPr="00A92F66" w:rsidTr="00820538">
        <w:trPr>
          <w:jc w:val="center"/>
        </w:trPr>
        <w:tc>
          <w:tcPr>
            <w:tcW w:w="0" w:type="auto"/>
            <w:shd w:val="clear" w:color="auto" w:fill="auto"/>
          </w:tcPr>
          <w:p w:rsidR="00820538" w:rsidRPr="00D56BEA" w:rsidRDefault="00820538" w:rsidP="00820538">
            <w:pPr>
              <w:jc w:val="both"/>
              <w:rPr>
                <w:rFonts w:eastAsia="Calibri"/>
                <w:sz w:val="16"/>
                <w:szCs w:val="16"/>
              </w:rPr>
            </w:pPr>
            <w:r w:rsidRPr="00D56BEA">
              <w:rPr>
                <w:rFonts w:eastAsia="Calibri"/>
                <w:sz w:val="16"/>
                <w:szCs w:val="16"/>
              </w:rPr>
              <w:t>DMU</w:t>
            </w:r>
            <w:r w:rsidRPr="00D56BEA">
              <w:rPr>
                <w:rFonts w:eastAsia="Calibri"/>
                <w:sz w:val="16"/>
                <w:szCs w:val="16"/>
                <w:vertAlign w:val="subscript"/>
              </w:rPr>
              <w:t>45</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81</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88</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11761</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0,12</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1086518</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7</w:t>
            </w:r>
          </w:p>
        </w:tc>
        <w:tc>
          <w:tcPr>
            <w:tcW w:w="0" w:type="auto"/>
            <w:shd w:val="clear" w:color="auto" w:fill="auto"/>
            <w:vAlign w:val="bottom"/>
          </w:tcPr>
          <w:p w:rsidR="00820538" w:rsidRPr="00D56BEA" w:rsidRDefault="00820538" w:rsidP="00820538">
            <w:pPr>
              <w:jc w:val="right"/>
              <w:rPr>
                <w:color w:val="000000"/>
                <w:sz w:val="16"/>
                <w:szCs w:val="16"/>
                <w:lang w:eastAsia="id-ID"/>
              </w:rPr>
            </w:pPr>
            <w:r w:rsidRPr="00D56BEA">
              <w:rPr>
                <w:color w:val="000000"/>
                <w:sz w:val="16"/>
                <w:szCs w:val="16"/>
                <w:lang w:eastAsia="id-ID"/>
              </w:rPr>
              <w:t>21070</w:t>
            </w:r>
          </w:p>
        </w:tc>
      </w:tr>
    </w:tbl>
    <w:p w:rsidR="00820538" w:rsidRDefault="00820538" w:rsidP="00FE0FB3">
      <w:pPr>
        <w:spacing w:line="276" w:lineRule="auto"/>
        <w:jc w:val="both"/>
        <w:rPr>
          <w:sz w:val="22"/>
          <w:szCs w:val="22"/>
          <w:lang w:val="id-ID"/>
        </w:rPr>
      </w:pPr>
    </w:p>
    <w:p w:rsidR="00820538" w:rsidRPr="00820538" w:rsidRDefault="00820538" w:rsidP="002A2BD3">
      <w:pPr>
        <w:spacing w:line="276" w:lineRule="auto"/>
        <w:ind w:firstLine="340"/>
        <w:jc w:val="both"/>
        <w:rPr>
          <w:sz w:val="22"/>
          <w:szCs w:val="22"/>
          <w:lang w:val="id-ID"/>
        </w:rPr>
      </w:pPr>
      <w:r w:rsidRPr="00820538">
        <w:rPr>
          <w:sz w:val="22"/>
          <w:szCs w:val="22"/>
          <w:lang w:val="id-ID"/>
        </w:rPr>
        <w:t xml:space="preserve">Figure 4 shows the price fluctuations of each DMU on dairy farmers. It can be seen that the optimum price is higher than the current price and it can be seen that the optimum price that should be obtained to maximise the profit of DMU is Rp 5,200, this is due to dairy farmers have a high risk among other actors of the supply chain of other </w:t>
      </w:r>
      <w:r w:rsidR="00F85FE3">
        <w:rPr>
          <w:sz w:val="22"/>
          <w:szCs w:val="22"/>
          <w:lang w:val="id-ID"/>
        </w:rPr>
        <w:t>dadih</w:t>
      </w:r>
      <w:r w:rsidRPr="00820538">
        <w:rPr>
          <w:sz w:val="22"/>
          <w:szCs w:val="22"/>
          <w:lang w:val="id-ID"/>
        </w:rPr>
        <w:t xml:space="preserve"> products.</w:t>
      </w:r>
    </w:p>
    <w:p w:rsidR="007D1108" w:rsidRPr="007D1108" w:rsidRDefault="00820538" w:rsidP="002A2BD3">
      <w:pPr>
        <w:spacing w:line="276" w:lineRule="auto"/>
        <w:jc w:val="center"/>
        <w:rPr>
          <w:lang w:val="id-ID"/>
        </w:rPr>
      </w:pPr>
      <w:r w:rsidRPr="007D1108">
        <w:rPr>
          <w:lang w:val="id-ID"/>
        </w:rPr>
        <w:t xml:space="preserve">Table 6 </w:t>
      </w:r>
    </w:p>
    <w:p w:rsidR="00820538" w:rsidRPr="007D1108" w:rsidRDefault="00820538" w:rsidP="002A2BD3">
      <w:pPr>
        <w:spacing w:line="276" w:lineRule="auto"/>
        <w:jc w:val="center"/>
        <w:rPr>
          <w:lang w:val="id-ID"/>
        </w:rPr>
      </w:pPr>
      <w:r w:rsidRPr="007D1108">
        <w:rPr>
          <w:lang w:val="id-ID"/>
        </w:rPr>
        <w:t>Results of the Distribution Model</w:t>
      </w:r>
    </w:p>
    <w:tbl>
      <w:tblPr>
        <w:tblpPr w:leftFromText="180" w:rightFromText="180" w:vertAnchor="text" w:horzAnchor="margin" w:tblpY="114"/>
        <w:tblW w:w="5000" w:type="pct"/>
        <w:tblLook w:val="04A0" w:firstRow="1" w:lastRow="0" w:firstColumn="1" w:lastColumn="0" w:noHBand="0" w:noVBand="1"/>
      </w:tblPr>
      <w:tblGrid>
        <w:gridCol w:w="992"/>
        <w:gridCol w:w="721"/>
        <w:gridCol w:w="530"/>
        <w:gridCol w:w="704"/>
        <w:gridCol w:w="739"/>
        <w:gridCol w:w="600"/>
        <w:gridCol w:w="739"/>
        <w:gridCol w:w="739"/>
        <w:gridCol w:w="775"/>
        <w:gridCol w:w="798"/>
        <w:gridCol w:w="704"/>
        <w:gridCol w:w="739"/>
      </w:tblGrid>
      <w:tr w:rsidR="002A2BD3" w:rsidRPr="00D375A2" w:rsidTr="002B328B">
        <w:trPr>
          <w:trHeight w:val="420"/>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Stakeholders</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val="id-ID" w:eastAsia="id-ID"/>
              </w:rPr>
              <w:t>Efisiensi</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WR</w:t>
            </w:r>
            <w:r w:rsidRPr="00D375A2">
              <w:rPr>
                <w:b/>
                <w:bCs/>
                <w:color w:val="000000"/>
                <w:sz w:val="18"/>
                <w:szCs w:val="18"/>
                <w:vertAlign w:val="subscript"/>
                <w:lang w:eastAsia="id-ID"/>
              </w:rPr>
              <w:t>F</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proofErr w:type="spellStart"/>
            <w:r w:rsidRPr="00D375A2">
              <w:rPr>
                <w:b/>
                <w:bCs/>
                <w:color w:val="000000"/>
                <w:sz w:val="18"/>
                <w:szCs w:val="18"/>
                <w:lang w:eastAsia="id-ID"/>
              </w:rPr>
              <w:t>F</w:t>
            </w:r>
            <w:r w:rsidRPr="00D375A2">
              <w:rPr>
                <w:b/>
                <w:bCs/>
                <w:color w:val="000000"/>
                <w:sz w:val="18"/>
                <w:szCs w:val="18"/>
                <w:vertAlign w:val="subscript"/>
                <w:lang w:eastAsia="id-ID"/>
              </w:rPr>
              <w:t>y</w:t>
            </w:r>
            <w:proofErr w:type="spellEnd"/>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proofErr w:type="spellStart"/>
            <w:r w:rsidRPr="00D375A2">
              <w:rPr>
                <w:b/>
                <w:bCs/>
                <w:color w:val="000000"/>
                <w:sz w:val="18"/>
                <w:szCs w:val="18"/>
                <w:lang w:eastAsia="id-ID"/>
              </w:rPr>
              <w:t>F</w:t>
            </w:r>
            <w:r w:rsidRPr="00D375A2">
              <w:rPr>
                <w:b/>
                <w:bCs/>
                <w:color w:val="000000"/>
                <w:sz w:val="18"/>
                <w:szCs w:val="18"/>
                <w:vertAlign w:val="subscript"/>
                <w:lang w:eastAsia="id-ID"/>
              </w:rPr>
              <w:t>Fi</w:t>
            </w:r>
            <w:proofErr w:type="spellEnd"/>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ρ</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I</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proofErr w:type="spellStart"/>
            <w:r w:rsidRPr="00D375A2">
              <w:rPr>
                <w:b/>
                <w:bCs/>
                <w:color w:val="000000"/>
                <w:sz w:val="18"/>
                <w:szCs w:val="18"/>
                <w:lang w:eastAsia="id-ID"/>
              </w:rPr>
              <w:t>FP</w:t>
            </w:r>
            <w:r w:rsidRPr="00D375A2">
              <w:rPr>
                <w:b/>
                <w:bCs/>
                <w:color w:val="000000"/>
                <w:sz w:val="18"/>
                <w:szCs w:val="18"/>
                <w:vertAlign w:val="subscript"/>
                <w:lang w:eastAsia="id-ID"/>
              </w:rPr>
              <w:t>Fi</w:t>
            </w:r>
            <w:proofErr w:type="spellEnd"/>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Standard total cost</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Optimum price</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 xml:space="preserve">Current price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2A2BD3" w:rsidRPr="00D375A2" w:rsidRDefault="002A2BD3" w:rsidP="002B328B">
            <w:pPr>
              <w:rPr>
                <w:b/>
                <w:bCs/>
                <w:color w:val="000000"/>
                <w:sz w:val="18"/>
                <w:szCs w:val="18"/>
                <w:lang w:val="id-ID" w:eastAsia="id-ID"/>
              </w:rPr>
            </w:pPr>
            <w:r w:rsidRPr="00D375A2">
              <w:rPr>
                <w:b/>
                <w:bCs/>
                <w:color w:val="000000"/>
                <w:sz w:val="18"/>
                <w:szCs w:val="18"/>
                <w:lang w:eastAsia="id-ID"/>
              </w:rPr>
              <w:t>Gap</w:t>
            </w:r>
          </w:p>
        </w:tc>
      </w:tr>
      <w:tr w:rsidR="002A2BD3" w:rsidRPr="00D375A2" w:rsidTr="002B328B">
        <w:trPr>
          <w:trHeight w:val="300"/>
        </w:trPr>
        <w:tc>
          <w:tcPr>
            <w:tcW w:w="571" w:type="pct"/>
            <w:tcBorders>
              <w:top w:val="nil"/>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color w:val="000000"/>
                <w:sz w:val="18"/>
                <w:szCs w:val="18"/>
                <w:lang w:val="id-ID" w:eastAsia="id-ID"/>
              </w:rPr>
            </w:pPr>
            <w:r w:rsidRPr="00D375A2">
              <w:rPr>
                <w:color w:val="000000"/>
                <w:sz w:val="18"/>
                <w:szCs w:val="18"/>
                <w:lang w:eastAsia="id-ID"/>
              </w:rPr>
              <w:t>DMU</w:t>
            </w:r>
            <w:r w:rsidRPr="00D375A2">
              <w:rPr>
                <w:color w:val="000000"/>
                <w:sz w:val="18"/>
                <w:szCs w:val="18"/>
                <w:vertAlign w:val="subscript"/>
                <w:lang w:eastAsia="id-ID"/>
              </w:rPr>
              <w:t>11</w:t>
            </w:r>
          </w:p>
        </w:tc>
        <w:tc>
          <w:tcPr>
            <w:tcW w:w="40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w:t>
            </w:r>
          </w:p>
        </w:tc>
        <w:tc>
          <w:tcPr>
            <w:tcW w:w="30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0,567</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3956102</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1120828</w:t>
            </w:r>
          </w:p>
        </w:tc>
        <w:tc>
          <w:tcPr>
            <w:tcW w:w="33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1120828</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2241656</w:t>
            </w:r>
          </w:p>
        </w:tc>
        <w:tc>
          <w:tcPr>
            <w:tcW w:w="440"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2964000</w:t>
            </w:r>
          </w:p>
        </w:tc>
        <w:tc>
          <w:tcPr>
            <w:tcW w:w="479"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5205</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4536</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669,6559</w:t>
            </w:r>
          </w:p>
        </w:tc>
      </w:tr>
      <w:tr w:rsidR="002A2BD3" w:rsidRPr="00D375A2" w:rsidTr="002B328B">
        <w:trPr>
          <w:trHeight w:val="300"/>
        </w:trPr>
        <w:tc>
          <w:tcPr>
            <w:tcW w:w="571" w:type="pct"/>
            <w:tcBorders>
              <w:top w:val="nil"/>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color w:val="000000"/>
                <w:sz w:val="18"/>
                <w:szCs w:val="18"/>
                <w:lang w:val="id-ID" w:eastAsia="id-ID"/>
              </w:rPr>
            </w:pPr>
            <w:r w:rsidRPr="00D375A2">
              <w:rPr>
                <w:color w:val="000000"/>
                <w:sz w:val="18"/>
                <w:szCs w:val="18"/>
                <w:lang w:eastAsia="id-ID"/>
              </w:rPr>
              <w:t>DMU</w:t>
            </w:r>
            <w:r w:rsidRPr="00D375A2">
              <w:rPr>
                <w:color w:val="000000"/>
                <w:sz w:val="18"/>
                <w:szCs w:val="18"/>
                <w:vertAlign w:val="subscript"/>
                <w:lang w:eastAsia="id-ID"/>
              </w:rPr>
              <w:t>12</w:t>
            </w:r>
          </w:p>
        </w:tc>
        <w:tc>
          <w:tcPr>
            <w:tcW w:w="40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w:t>
            </w:r>
          </w:p>
        </w:tc>
        <w:tc>
          <w:tcPr>
            <w:tcW w:w="30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0,567</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3956102</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1120828</w:t>
            </w:r>
          </w:p>
        </w:tc>
        <w:tc>
          <w:tcPr>
            <w:tcW w:w="33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1120828</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2241656</w:t>
            </w:r>
          </w:p>
        </w:tc>
        <w:tc>
          <w:tcPr>
            <w:tcW w:w="440"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2964000</w:t>
            </w:r>
          </w:p>
        </w:tc>
        <w:tc>
          <w:tcPr>
            <w:tcW w:w="479"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5205</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4795</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410,6559</w:t>
            </w:r>
          </w:p>
        </w:tc>
      </w:tr>
      <w:tr w:rsidR="002A2BD3" w:rsidRPr="00D375A2" w:rsidTr="002B328B">
        <w:trPr>
          <w:trHeight w:val="300"/>
        </w:trPr>
        <w:tc>
          <w:tcPr>
            <w:tcW w:w="571" w:type="pct"/>
            <w:tcBorders>
              <w:top w:val="nil"/>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color w:val="000000"/>
                <w:sz w:val="18"/>
                <w:szCs w:val="18"/>
                <w:lang w:val="id-ID" w:eastAsia="id-ID"/>
              </w:rPr>
            </w:pPr>
            <w:r w:rsidRPr="00D375A2">
              <w:rPr>
                <w:color w:val="000000"/>
                <w:sz w:val="18"/>
                <w:szCs w:val="18"/>
                <w:lang w:eastAsia="id-ID"/>
              </w:rPr>
              <w:t>DMU</w:t>
            </w:r>
            <w:r w:rsidRPr="00D375A2">
              <w:rPr>
                <w:color w:val="000000"/>
                <w:sz w:val="18"/>
                <w:szCs w:val="18"/>
                <w:vertAlign w:val="subscript"/>
                <w:lang w:eastAsia="id-ID"/>
              </w:rPr>
              <w:t>13</w:t>
            </w:r>
          </w:p>
        </w:tc>
        <w:tc>
          <w:tcPr>
            <w:tcW w:w="40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0,865</w:t>
            </w:r>
          </w:p>
        </w:tc>
        <w:tc>
          <w:tcPr>
            <w:tcW w:w="30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0,567</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3956102</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1120828</w:t>
            </w:r>
          </w:p>
        </w:tc>
        <w:tc>
          <w:tcPr>
            <w:tcW w:w="33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0,1347</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969852,4</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2090680</w:t>
            </w:r>
          </w:p>
        </w:tc>
        <w:tc>
          <w:tcPr>
            <w:tcW w:w="440"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2964000</w:t>
            </w:r>
          </w:p>
        </w:tc>
        <w:tc>
          <w:tcPr>
            <w:tcW w:w="479"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5054</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4892</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162,6804</w:t>
            </w:r>
          </w:p>
        </w:tc>
      </w:tr>
      <w:tr w:rsidR="002A2BD3" w:rsidRPr="00D375A2" w:rsidTr="002B328B">
        <w:trPr>
          <w:trHeight w:val="300"/>
        </w:trPr>
        <w:tc>
          <w:tcPr>
            <w:tcW w:w="571" w:type="pct"/>
            <w:tcBorders>
              <w:top w:val="nil"/>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color w:val="000000"/>
                <w:sz w:val="18"/>
                <w:szCs w:val="18"/>
                <w:lang w:val="id-ID" w:eastAsia="id-ID"/>
              </w:rPr>
            </w:pPr>
            <w:r w:rsidRPr="00D375A2">
              <w:rPr>
                <w:color w:val="000000"/>
                <w:sz w:val="18"/>
                <w:szCs w:val="18"/>
                <w:lang w:eastAsia="id-ID"/>
              </w:rPr>
              <w:t>:</w:t>
            </w:r>
          </w:p>
        </w:tc>
        <w:tc>
          <w:tcPr>
            <w:tcW w:w="407"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04"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97"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34"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40"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79"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97"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r>
      <w:tr w:rsidR="002A2BD3" w:rsidRPr="00D375A2" w:rsidTr="002B328B">
        <w:trPr>
          <w:trHeight w:val="300"/>
        </w:trPr>
        <w:tc>
          <w:tcPr>
            <w:tcW w:w="571" w:type="pct"/>
            <w:tcBorders>
              <w:top w:val="nil"/>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color w:val="000000"/>
                <w:sz w:val="18"/>
                <w:szCs w:val="18"/>
                <w:lang w:val="id-ID" w:eastAsia="id-ID"/>
              </w:rPr>
            </w:pPr>
            <w:r w:rsidRPr="00D375A2">
              <w:rPr>
                <w:color w:val="000000"/>
                <w:sz w:val="18"/>
                <w:szCs w:val="18"/>
                <w:lang w:eastAsia="id-ID"/>
              </w:rPr>
              <w:t>:</w:t>
            </w:r>
          </w:p>
        </w:tc>
        <w:tc>
          <w:tcPr>
            <w:tcW w:w="407"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04"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97"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34"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40"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79"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397"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c>
          <w:tcPr>
            <w:tcW w:w="418" w:type="pct"/>
            <w:tcBorders>
              <w:top w:val="nil"/>
              <w:left w:val="nil"/>
              <w:bottom w:val="single" w:sz="4" w:space="0" w:color="auto"/>
              <w:right w:val="single" w:sz="4" w:space="0" w:color="auto"/>
            </w:tcBorders>
            <w:shd w:val="clear" w:color="auto" w:fill="auto"/>
            <w:vAlign w:val="center"/>
            <w:hideMark/>
          </w:tcPr>
          <w:p w:rsidR="002A2BD3" w:rsidRPr="00D375A2" w:rsidRDefault="002A2BD3" w:rsidP="002B328B">
            <w:pPr>
              <w:jc w:val="right"/>
              <w:rPr>
                <w:color w:val="000000"/>
                <w:sz w:val="18"/>
                <w:szCs w:val="18"/>
                <w:lang w:val="id-ID" w:eastAsia="id-ID"/>
              </w:rPr>
            </w:pPr>
            <w:r w:rsidRPr="00D375A2">
              <w:rPr>
                <w:color w:val="000000"/>
                <w:sz w:val="18"/>
                <w:szCs w:val="18"/>
                <w:lang w:eastAsia="id-ID"/>
              </w:rPr>
              <w:t>:</w:t>
            </w:r>
          </w:p>
        </w:tc>
      </w:tr>
      <w:tr w:rsidR="002A2BD3" w:rsidRPr="00D375A2" w:rsidTr="002B328B">
        <w:trPr>
          <w:trHeight w:val="300"/>
        </w:trPr>
        <w:tc>
          <w:tcPr>
            <w:tcW w:w="571" w:type="pct"/>
            <w:tcBorders>
              <w:top w:val="nil"/>
              <w:left w:val="single" w:sz="4" w:space="0" w:color="auto"/>
              <w:bottom w:val="single" w:sz="4" w:space="0" w:color="auto"/>
              <w:right w:val="single" w:sz="4" w:space="0" w:color="auto"/>
            </w:tcBorders>
            <w:shd w:val="clear" w:color="auto" w:fill="auto"/>
            <w:vAlign w:val="center"/>
            <w:hideMark/>
          </w:tcPr>
          <w:p w:rsidR="002A2BD3" w:rsidRPr="00D375A2" w:rsidRDefault="002A2BD3" w:rsidP="002B328B">
            <w:pPr>
              <w:rPr>
                <w:color w:val="000000"/>
                <w:sz w:val="18"/>
                <w:szCs w:val="18"/>
                <w:lang w:val="id-ID" w:eastAsia="id-ID"/>
              </w:rPr>
            </w:pPr>
            <w:r w:rsidRPr="00D375A2">
              <w:rPr>
                <w:color w:val="000000"/>
                <w:sz w:val="18"/>
                <w:szCs w:val="18"/>
                <w:lang w:eastAsia="id-ID"/>
              </w:rPr>
              <w:t>DMU</w:t>
            </w:r>
            <w:r w:rsidRPr="00D375A2">
              <w:rPr>
                <w:color w:val="000000"/>
                <w:sz w:val="18"/>
                <w:szCs w:val="18"/>
                <w:vertAlign w:val="subscript"/>
                <w:lang w:eastAsia="id-ID"/>
              </w:rPr>
              <w:t>320</w:t>
            </w:r>
          </w:p>
        </w:tc>
        <w:tc>
          <w:tcPr>
            <w:tcW w:w="40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w:t>
            </w:r>
          </w:p>
        </w:tc>
        <w:tc>
          <w:tcPr>
            <w:tcW w:w="30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0,12</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3956102</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227588,6</w:t>
            </w:r>
          </w:p>
        </w:tc>
        <w:tc>
          <w:tcPr>
            <w:tcW w:w="334"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0,00</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227588,6</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455177,2</w:t>
            </w:r>
          </w:p>
        </w:tc>
        <w:tc>
          <w:tcPr>
            <w:tcW w:w="440"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10453810</w:t>
            </w:r>
          </w:p>
        </w:tc>
        <w:tc>
          <w:tcPr>
            <w:tcW w:w="479"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10908</w:t>
            </w:r>
          </w:p>
        </w:tc>
        <w:tc>
          <w:tcPr>
            <w:tcW w:w="397"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21763</w:t>
            </w:r>
          </w:p>
        </w:tc>
        <w:tc>
          <w:tcPr>
            <w:tcW w:w="418" w:type="pct"/>
            <w:tcBorders>
              <w:top w:val="nil"/>
              <w:left w:val="nil"/>
              <w:bottom w:val="single" w:sz="4" w:space="0" w:color="auto"/>
              <w:right w:val="single" w:sz="4" w:space="0" w:color="auto"/>
            </w:tcBorders>
            <w:shd w:val="clear" w:color="auto" w:fill="auto"/>
            <w:noWrap/>
            <w:vAlign w:val="bottom"/>
            <w:hideMark/>
          </w:tcPr>
          <w:p w:rsidR="002A2BD3" w:rsidRPr="00D375A2" w:rsidRDefault="002A2BD3" w:rsidP="002B328B">
            <w:pPr>
              <w:jc w:val="right"/>
              <w:rPr>
                <w:color w:val="000000"/>
                <w:sz w:val="18"/>
                <w:szCs w:val="18"/>
                <w:lang w:val="id-ID" w:eastAsia="id-ID"/>
              </w:rPr>
            </w:pPr>
            <w:r w:rsidRPr="00D375A2">
              <w:rPr>
                <w:color w:val="000000"/>
                <w:sz w:val="18"/>
                <w:szCs w:val="18"/>
                <w:lang w:val="id-ID" w:eastAsia="id-ID"/>
              </w:rPr>
              <w:t>-10854</w:t>
            </w:r>
          </w:p>
        </w:tc>
      </w:tr>
    </w:tbl>
    <w:p w:rsidR="002A2BD3" w:rsidRDefault="002A2BD3" w:rsidP="002A2BD3">
      <w:pPr>
        <w:spacing w:line="276" w:lineRule="auto"/>
        <w:jc w:val="center"/>
        <w:rPr>
          <w:sz w:val="22"/>
          <w:szCs w:val="22"/>
          <w:lang w:val="id-ID"/>
        </w:rPr>
      </w:pPr>
    </w:p>
    <w:p w:rsidR="002A2BD3" w:rsidRDefault="002A2BD3" w:rsidP="002A2BD3">
      <w:pPr>
        <w:spacing w:line="276" w:lineRule="auto"/>
        <w:jc w:val="center"/>
        <w:rPr>
          <w:sz w:val="22"/>
          <w:szCs w:val="22"/>
          <w:lang w:val="id-ID"/>
        </w:rPr>
      </w:pPr>
      <w:r w:rsidRPr="00E75226">
        <w:rPr>
          <w:noProof/>
          <w:lang w:val="id-ID" w:eastAsia="id-ID"/>
        </w:rPr>
        <w:drawing>
          <wp:inline distT="0" distB="0" distL="0" distR="0">
            <wp:extent cx="3187700" cy="1907540"/>
            <wp:effectExtent l="0" t="0" r="12700" b="165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1108" w:rsidRPr="007D1108" w:rsidRDefault="007D1108" w:rsidP="002A2BD3">
      <w:pPr>
        <w:spacing w:line="276" w:lineRule="auto"/>
        <w:jc w:val="center"/>
        <w:rPr>
          <w:lang w:val="id-ID"/>
        </w:rPr>
      </w:pPr>
      <w:r>
        <w:rPr>
          <w:lang w:val="id-ID"/>
        </w:rPr>
        <w:t>Figure 2</w:t>
      </w:r>
    </w:p>
    <w:p w:rsidR="002A2BD3" w:rsidRPr="007D1108" w:rsidRDefault="002A2BD3" w:rsidP="002A2BD3">
      <w:pPr>
        <w:spacing w:line="276" w:lineRule="auto"/>
        <w:jc w:val="center"/>
        <w:rPr>
          <w:lang w:val="id-ID"/>
        </w:rPr>
      </w:pPr>
      <w:r w:rsidRPr="007D1108">
        <w:rPr>
          <w:lang w:val="id-ID"/>
        </w:rPr>
        <w:t>Optimum price for all DMUs on dairy farmers</w:t>
      </w:r>
    </w:p>
    <w:p w:rsidR="002A2BD3" w:rsidRPr="002A2BD3" w:rsidRDefault="002A2BD3" w:rsidP="002A2BD3">
      <w:pPr>
        <w:spacing w:line="276" w:lineRule="auto"/>
        <w:jc w:val="center"/>
        <w:rPr>
          <w:sz w:val="22"/>
          <w:szCs w:val="22"/>
          <w:lang w:val="id-ID"/>
        </w:rPr>
      </w:pPr>
    </w:p>
    <w:p w:rsidR="002A2BD3" w:rsidRDefault="007D1108" w:rsidP="002A2BD3">
      <w:pPr>
        <w:spacing w:line="276" w:lineRule="auto"/>
        <w:ind w:firstLine="340"/>
        <w:jc w:val="both"/>
        <w:rPr>
          <w:sz w:val="22"/>
          <w:szCs w:val="22"/>
          <w:lang w:val="id-ID"/>
        </w:rPr>
      </w:pPr>
      <w:r>
        <w:rPr>
          <w:sz w:val="22"/>
          <w:szCs w:val="22"/>
          <w:lang w:val="id-ID"/>
        </w:rPr>
        <w:t>In Figures 3, 4, and 5</w:t>
      </w:r>
      <w:r w:rsidR="002A2BD3" w:rsidRPr="002A2BD3">
        <w:rPr>
          <w:sz w:val="22"/>
          <w:szCs w:val="22"/>
          <w:lang w:val="id-ID"/>
        </w:rPr>
        <w:t>, the optimum price shown is lower than the current price, this happens as a result of an unbalanced d</w:t>
      </w:r>
      <w:r w:rsidR="00260D2C">
        <w:rPr>
          <w:sz w:val="22"/>
          <w:szCs w:val="22"/>
          <w:lang w:val="id-ID"/>
        </w:rPr>
        <w:t>istribution of risk. In Figure 3</w:t>
      </w:r>
      <w:r w:rsidR="002A2BD3" w:rsidRPr="002A2BD3">
        <w:rPr>
          <w:sz w:val="22"/>
          <w:szCs w:val="22"/>
          <w:lang w:val="id-ID"/>
        </w:rPr>
        <w:t>, obtained the optimum price to maxim</w:t>
      </w:r>
      <w:r w:rsidR="00260D2C">
        <w:rPr>
          <w:sz w:val="22"/>
          <w:szCs w:val="22"/>
          <w:lang w:val="id-ID"/>
        </w:rPr>
        <w:t>ise profit is Rp 5.383. Figure 4</w:t>
      </w:r>
      <w:r w:rsidR="002A2BD3" w:rsidRPr="002A2BD3">
        <w:rPr>
          <w:sz w:val="22"/>
          <w:szCs w:val="22"/>
          <w:lang w:val="id-ID"/>
        </w:rPr>
        <w:t xml:space="preserve"> which shows the optimum price for the </w:t>
      </w:r>
      <w:r w:rsidR="00F85FE3">
        <w:rPr>
          <w:sz w:val="22"/>
          <w:szCs w:val="22"/>
          <w:lang w:val="id-ID"/>
        </w:rPr>
        <w:t>dadih</w:t>
      </w:r>
      <w:r w:rsidR="002A2BD3" w:rsidRPr="002A2BD3">
        <w:rPr>
          <w:sz w:val="22"/>
          <w:szCs w:val="22"/>
          <w:lang w:val="id-ID"/>
        </w:rPr>
        <w:t xml:space="preserve"> pr</w:t>
      </w:r>
      <w:r w:rsidR="00260D2C">
        <w:rPr>
          <w:sz w:val="22"/>
          <w:szCs w:val="22"/>
          <w:lang w:val="id-ID"/>
        </w:rPr>
        <w:t>oducer is Rp 10,000 and Figure 5</w:t>
      </w:r>
      <w:r w:rsidR="002A2BD3" w:rsidRPr="002A2BD3">
        <w:rPr>
          <w:sz w:val="22"/>
          <w:szCs w:val="22"/>
          <w:lang w:val="id-ID"/>
        </w:rPr>
        <w:t xml:space="preserve"> gives the optimum price for the </w:t>
      </w:r>
      <w:r w:rsidR="00F85FE3">
        <w:rPr>
          <w:sz w:val="22"/>
          <w:szCs w:val="22"/>
          <w:lang w:val="id-ID"/>
        </w:rPr>
        <w:t>dadih</w:t>
      </w:r>
      <w:r w:rsidR="002A2BD3" w:rsidRPr="002A2BD3">
        <w:rPr>
          <w:sz w:val="22"/>
          <w:szCs w:val="22"/>
          <w:lang w:val="id-ID"/>
        </w:rPr>
        <w:t xml:space="preserve"> retailer of Rp 11,000.</w:t>
      </w:r>
    </w:p>
    <w:p w:rsidR="00820538" w:rsidRDefault="002A2BD3" w:rsidP="002A2BD3">
      <w:pPr>
        <w:spacing w:line="276" w:lineRule="auto"/>
        <w:jc w:val="center"/>
        <w:rPr>
          <w:sz w:val="22"/>
          <w:szCs w:val="22"/>
          <w:lang w:val="id-ID"/>
        </w:rPr>
      </w:pPr>
      <w:r w:rsidRPr="00E75226">
        <w:rPr>
          <w:noProof/>
          <w:lang w:val="id-ID" w:eastAsia="id-ID"/>
        </w:rPr>
        <w:lastRenderedPageBreak/>
        <w:drawing>
          <wp:inline distT="0" distB="0" distL="0" distR="0">
            <wp:extent cx="3197225" cy="1920875"/>
            <wp:effectExtent l="0" t="0" r="3175" b="317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1108" w:rsidRPr="007D1108" w:rsidRDefault="007D1108" w:rsidP="002A2BD3">
      <w:pPr>
        <w:spacing w:line="276" w:lineRule="auto"/>
        <w:jc w:val="center"/>
        <w:rPr>
          <w:lang w:val="id-ID"/>
        </w:rPr>
      </w:pPr>
      <w:r>
        <w:rPr>
          <w:lang w:val="id-ID"/>
        </w:rPr>
        <w:t>Figure 3</w:t>
      </w:r>
    </w:p>
    <w:p w:rsidR="002A2BD3" w:rsidRPr="007D1108" w:rsidRDefault="002A2BD3" w:rsidP="002A2BD3">
      <w:pPr>
        <w:spacing w:line="276" w:lineRule="auto"/>
        <w:jc w:val="center"/>
        <w:rPr>
          <w:lang w:val="id-ID"/>
        </w:rPr>
      </w:pPr>
      <w:r w:rsidRPr="007D1108">
        <w:rPr>
          <w:lang w:val="id-ID"/>
        </w:rPr>
        <w:t>Optimum price for all DMUs in milk collectors</w:t>
      </w:r>
    </w:p>
    <w:p w:rsidR="002A2BD3" w:rsidRDefault="002A2BD3" w:rsidP="002A2BD3">
      <w:pPr>
        <w:spacing w:line="276" w:lineRule="auto"/>
        <w:jc w:val="center"/>
        <w:rPr>
          <w:sz w:val="22"/>
          <w:szCs w:val="22"/>
          <w:lang w:val="id-ID"/>
        </w:rPr>
      </w:pPr>
    </w:p>
    <w:p w:rsidR="002A2BD3" w:rsidRDefault="002A2BD3" w:rsidP="002A2BD3">
      <w:pPr>
        <w:spacing w:line="276" w:lineRule="auto"/>
        <w:jc w:val="center"/>
        <w:rPr>
          <w:sz w:val="22"/>
          <w:szCs w:val="22"/>
          <w:lang w:val="id-ID"/>
        </w:rPr>
      </w:pPr>
      <w:r w:rsidRPr="00E75226">
        <w:rPr>
          <w:noProof/>
          <w:lang w:val="id-ID" w:eastAsia="id-ID"/>
        </w:rPr>
        <w:drawing>
          <wp:inline distT="0" distB="0" distL="0" distR="0">
            <wp:extent cx="3187700" cy="1907540"/>
            <wp:effectExtent l="0" t="0" r="12700" b="1651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1108" w:rsidRPr="007D1108" w:rsidRDefault="007D1108" w:rsidP="002A2BD3">
      <w:pPr>
        <w:spacing w:line="276" w:lineRule="auto"/>
        <w:jc w:val="center"/>
        <w:rPr>
          <w:lang w:val="id-ID"/>
        </w:rPr>
      </w:pPr>
      <w:r>
        <w:rPr>
          <w:lang w:val="id-ID"/>
        </w:rPr>
        <w:t>Figure 4</w:t>
      </w:r>
    </w:p>
    <w:p w:rsidR="002A2BD3" w:rsidRDefault="002A2BD3" w:rsidP="002A2BD3">
      <w:pPr>
        <w:spacing w:line="276" w:lineRule="auto"/>
        <w:jc w:val="center"/>
        <w:rPr>
          <w:sz w:val="22"/>
          <w:szCs w:val="22"/>
          <w:lang w:val="id-ID"/>
        </w:rPr>
      </w:pPr>
      <w:r w:rsidRPr="007D1108">
        <w:rPr>
          <w:lang w:val="id-ID"/>
        </w:rPr>
        <w:t xml:space="preserve">Optimum price of each DMU on the producers of </w:t>
      </w:r>
      <w:r w:rsidR="00F85FE3" w:rsidRPr="007D1108">
        <w:rPr>
          <w:lang w:val="id-ID"/>
        </w:rPr>
        <w:t>dadih</w:t>
      </w:r>
    </w:p>
    <w:p w:rsidR="002A2BD3" w:rsidRDefault="002A2BD3" w:rsidP="002A2BD3">
      <w:pPr>
        <w:spacing w:line="276" w:lineRule="auto"/>
        <w:jc w:val="center"/>
        <w:rPr>
          <w:sz w:val="22"/>
          <w:szCs w:val="22"/>
          <w:lang w:val="id-ID"/>
        </w:rPr>
      </w:pPr>
    </w:p>
    <w:p w:rsidR="002A2BD3" w:rsidRDefault="002A2BD3" w:rsidP="002A2BD3">
      <w:pPr>
        <w:spacing w:line="276" w:lineRule="auto"/>
        <w:jc w:val="center"/>
        <w:rPr>
          <w:sz w:val="22"/>
          <w:szCs w:val="22"/>
          <w:lang w:val="id-ID"/>
        </w:rPr>
      </w:pPr>
      <w:r w:rsidRPr="00E75226">
        <w:rPr>
          <w:noProof/>
          <w:lang w:val="id-ID" w:eastAsia="id-ID"/>
        </w:rPr>
        <w:drawing>
          <wp:inline distT="0" distB="0" distL="0" distR="0">
            <wp:extent cx="3197225" cy="1920875"/>
            <wp:effectExtent l="0" t="0" r="3175" b="3175"/>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1108" w:rsidRPr="007D1108" w:rsidRDefault="007D1108" w:rsidP="002A2BD3">
      <w:pPr>
        <w:spacing w:line="276" w:lineRule="auto"/>
        <w:jc w:val="center"/>
        <w:rPr>
          <w:lang w:val="id-ID"/>
        </w:rPr>
      </w:pPr>
      <w:r>
        <w:rPr>
          <w:lang w:val="id-ID"/>
        </w:rPr>
        <w:t>Figure 5</w:t>
      </w:r>
    </w:p>
    <w:p w:rsidR="002A2BD3" w:rsidRPr="007D1108" w:rsidRDefault="002A2BD3" w:rsidP="002A2BD3">
      <w:pPr>
        <w:spacing w:line="276" w:lineRule="auto"/>
        <w:jc w:val="center"/>
        <w:rPr>
          <w:lang w:val="id-ID"/>
        </w:rPr>
      </w:pPr>
      <w:r w:rsidRPr="007D1108">
        <w:rPr>
          <w:lang w:val="id-ID"/>
        </w:rPr>
        <w:t>Optimum price of each DMU on retailers</w:t>
      </w:r>
    </w:p>
    <w:p w:rsidR="002A2BD3" w:rsidRPr="002A2BD3" w:rsidRDefault="002A2BD3" w:rsidP="002A2BD3">
      <w:pPr>
        <w:spacing w:line="276" w:lineRule="auto"/>
        <w:jc w:val="center"/>
        <w:rPr>
          <w:sz w:val="22"/>
          <w:szCs w:val="22"/>
          <w:lang w:val="id-ID"/>
        </w:rPr>
      </w:pPr>
    </w:p>
    <w:p w:rsidR="002A2BD3" w:rsidRPr="002A2BD3" w:rsidRDefault="00260D2C" w:rsidP="00EB4D49">
      <w:pPr>
        <w:spacing w:line="276" w:lineRule="auto"/>
        <w:ind w:firstLine="284"/>
        <w:jc w:val="both"/>
        <w:rPr>
          <w:sz w:val="22"/>
          <w:szCs w:val="22"/>
          <w:lang w:val="id-ID"/>
        </w:rPr>
      </w:pPr>
      <w:r>
        <w:rPr>
          <w:sz w:val="22"/>
          <w:szCs w:val="22"/>
          <w:lang w:val="id-ID"/>
        </w:rPr>
        <w:t>In figures 2, 3, 4 and 5</w:t>
      </w:r>
      <w:r w:rsidR="002A2BD3" w:rsidRPr="002A2BD3">
        <w:rPr>
          <w:sz w:val="22"/>
          <w:szCs w:val="22"/>
          <w:lang w:val="id-ID"/>
        </w:rPr>
        <w:t xml:space="preserve"> it can be found that there is significant price fluctuation between DMUs. Then after implementing this model, it can be found that price fluctuations between DMUs become softer. Price fluctuations occur due to the average difference in the efficiency of each DMU. In other words, if the DMU is inefficient, then some incentives are distributed and allocated to other offender networks as a compensation for the distribution of the risk.</w:t>
      </w:r>
    </w:p>
    <w:p w:rsidR="00595E89" w:rsidRDefault="00595E89" w:rsidP="004312BB">
      <w:pPr>
        <w:ind w:left="284" w:hanging="284"/>
        <w:jc w:val="center"/>
        <w:rPr>
          <w:b/>
          <w:bCs/>
          <w:sz w:val="22"/>
          <w:szCs w:val="22"/>
        </w:rPr>
      </w:pPr>
    </w:p>
    <w:p w:rsidR="004312BB" w:rsidRPr="00734153" w:rsidRDefault="004312BB" w:rsidP="004312BB">
      <w:pPr>
        <w:ind w:left="284" w:hanging="284"/>
        <w:jc w:val="center"/>
        <w:rPr>
          <w:b/>
          <w:bCs/>
          <w:sz w:val="22"/>
          <w:szCs w:val="22"/>
          <w:lang w:val="id-ID"/>
        </w:rPr>
      </w:pPr>
      <w:r w:rsidRPr="00734153">
        <w:rPr>
          <w:b/>
          <w:bCs/>
          <w:sz w:val="22"/>
          <w:szCs w:val="22"/>
        </w:rPr>
        <w:t xml:space="preserve">4. </w:t>
      </w:r>
      <w:r w:rsidRPr="00734153">
        <w:rPr>
          <w:b/>
          <w:bCs/>
          <w:sz w:val="22"/>
          <w:szCs w:val="22"/>
        </w:rPr>
        <w:tab/>
      </w:r>
      <w:bookmarkStart w:id="4" w:name="Conclusion"/>
      <w:r w:rsidRPr="00734153">
        <w:rPr>
          <w:b/>
          <w:bCs/>
          <w:sz w:val="22"/>
          <w:szCs w:val="22"/>
          <w:lang w:val="id-ID"/>
        </w:rPr>
        <w:t>Conclusion</w:t>
      </w:r>
      <w:bookmarkEnd w:id="4"/>
    </w:p>
    <w:p w:rsidR="002A2BD3" w:rsidRPr="002A2BD3" w:rsidRDefault="002A2BD3" w:rsidP="002A2BD3">
      <w:pPr>
        <w:spacing w:line="276" w:lineRule="auto"/>
        <w:jc w:val="center"/>
        <w:rPr>
          <w:sz w:val="22"/>
          <w:szCs w:val="22"/>
          <w:lang w:val="id-ID"/>
        </w:rPr>
      </w:pPr>
    </w:p>
    <w:p w:rsidR="002A2BD3" w:rsidRDefault="002A2BD3" w:rsidP="002A2BD3">
      <w:pPr>
        <w:spacing w:line="276" w:lineRule="auto"/>
        <w:ind w:firstLine="284"/>
        <w:jc w:val="both"/>
        <w:rPr>
          <w:sz w:val="22"/>
          <w:szCs w:val="22"/>
          <w:lang w:val="id-ID"/>
        </w:rPr>
      </w:pPr>
      <w:r w:rsidRPr="002A2BD3">
        <w:rPr>
          <w:sz w:val="22"/>
          <w:szCs w:val="22"/>
          <w:lang w:val="id-ID"/>
        </w:rPr>
        <w:t xml:space="preserve">The results of the identification stage, the supply chain of </w:t>
      </w:r>
      <w:r w:rsidR="00F85FE3">
        <w:rPr>
          <w:sz w:val="22"/>
          <w:szCs w:val="22"/>
          <w:lang w:val="id-ID"/>
        </w:rPr>
        <w:t>dadih</w:t>
      </w:r>
      <w:r w:rsidRPr="002A2BD3">
        <w:rPr>
          <w:sz w:val="22"/>
          <w:szCs w:val="22"/>
          <w:lang w:val="id-ID"/>
        </w:rPr>
        <w:t xml:space="preserve"> products has 52 risks with risk factors used in each supply chain actors namely supply, process, demand, and price. Based on the evaluation conducted, dairy farmers have the highest risk index compared to other actors that are equal to 0.222. The DEA method generates the performance of each DMU that will be the input in the risk distribution model. In the risk distribution model, we get the optimum price of each DMU based on the weight of risk and its performance.</w:t>
      </w:r>
    </w:p>
    <w:p w:rsidR="00053E8B" w:rsidRDefault="00053E8B" w:rsidP="004312BB">
      <w:pPr>
        <w:pStyle w:val="Heading6"/>
        <w:rPr>
          <w:rStyle w:val="apple-style-span"/>
          <w:color w:val="000000"/>
          <w:lang w:val="pt-BR"/>
        </w:rPr>
      </w:pPr>
    </w:p>
    <w:p w:rsidR="004312BB" w:rsidRDefault="004312BB" w:rsidP="004312BB">
      <w:pPr>
        <w:pStyle w:val="Heading6"/>
        <w:rPr>
          <w:rStyle w:val="apple-style-span"/>
          <w:color w:val="000000"/>
          <w:lang w:val="pt-BR"/>
        </w:rPr>
      </w:pPr>
      <w:r w:rsidRPr="0079039F">
        <w:rPr>
          <w:rStyle w:val="apple-style-span"/>
          <w:color w:val="000000"/>
          <w:lang w:val="pt-BR"/>
        </w:rPr>
        <w:t>References</w:t>
      </w:r>
    </w:p>
    <w:p w:rsidR="006F42E7" w:rsidRDefault="006F42E7" w:rsidP="00053E8B">
      <w:pPr>
        <w:autoSpaceDE w:val="0"/>
        <w:autoSpaceDN w:val="0"/>
        <w:adjustRightInd w:val="0"/>
        <w:ind w:left="567" w:hanging="567"/>
        <w:jc w:val="both"/>
      </w:pPr>
      <w:r>
        <w:rPr>
          <w:lang w:val="id-ID"/>
        </w:rPr>
        <w:t xml:space="preserve">[1] </w:t>
      </w:r>
      <w:proofErr w:type="spellStart"/>
      <w:r w:rsidRPr="00B5386E">
        <w:t>Pujawan</w:t>
      </w:r>
      <w:proofErr w:type="spellEnd"/>
      <w:r w:rsidRPr="00B5386E">
        <w:t xml:space="preserve"> IN. </w:t>
      </w:r>
      <w:r>
        <w:rPr>
          <w:lang w:val="id-ID"/>
        </w:rPr>
        <w:t>(</w:t>
      </w:r>
      <w:r w:rsidRPr="00B5386E">
        <w:t>2005</w:t>
      </w:r>
      <w:r>
        <w:rPr>
          <w:lang w:val="id-ID"/>
        </w:rPr>
        <w:t>)</w:t>
      </w:r>
      <w:r w:rsidRPr="00B5386E">
        <w:t xml:space="preserve">. Supply Chain Management. Surabaya: </w:t>
      </w:r>
      <w:proofErr w:type="spellStart"/>
      <w:r w:rsidRPr="00B5386E">
        <w:t>Guna</w:t>
      </w:r>
      <w:proofErr w:type="spellEnd"/>
      <w:r w:rsidRPr="00B5386E">
        <w:t xml:space="preserve"> </w:t>
      </w:r>
      <w:proofErr w:type="spellStart"/>
      <w:r w:rsidRPr="00B5386E">
        <w:t>Widya</w:t>
      </w:r>
      <w:proofErr w:type="spellEnd"/>
      <w:r w:rsidRPr="00B5386E">
        <w:t>.</w:t>
      </w:r>
    </w:p>
    <w:p w:rsidR="006F42E7" w:rsidRDefault="006F42E7" w:rsidP="006F42E7">
      <w:pPr>
        <w:pStyle w:val="ListParagraph"/>
        <w:ind w:left="567" w:hanging="567"/>
        <w:jc w:val="both"/>
      </w:pPr>
      <w:r>
        <w:rPr>
          <w:lang w:val="id-ID"/>
        </w:rPr>
        <w:t xml:space="preserve">[2] </w:t>
      </w:r>
      <w:proofErr w:type="spellStart"/>
      <w:r w:rsidRPr="00B5386E">
        <w:t>Zsidisin</w:t>
      </w:r>
      <w:proofErr w:type="spellEnd"/>
      <w:r w:rsidRPr="00B5386E">
        <w:t xml:space="preserve"> GA, Wagner SM, </w:t>
      </w:r>
      <w:proofErr w:type="spellStart"/>
      <w:r w:rsidRPr="00B5386E">
        <w:t>Melnyk</w:t>
      </w:r>
      <w:proofErr w:type="spellEnd"/>
      <w:r w:rsidRPr="00B5386E">
        <w:t xml:space="preserve"> SA, </w:t>
      </w:r>
      <w:proofErr w:type="spellStart"/>
      <w:r w:rsidRPr="00B5386E">
        <w:t>Ragatz</w:t>
      </w:r>
      <w:proofErr w:type="spellEnd"/>
      <w:r w:rsidRPr="00B5386E">
        <w:t xml:space="preserve"> GL, Burns LA.</w:t>
      </w:r>
      <w:r>
        <w:rPr>
          <w:lang w:val="id-ID"/>
        </w:rPr>
        <w:t xml:space="preserve"> (</w:t>
      </w:r>
      <w:r w:rsidRPr="00B5386E">
        <w:t>2008</w:t>
      </w:r>
      <w:r>
        <w:rPr>
          <w:lang w:val="id-ID"/>
        </w:rPr>
        <w:t>)</w:t>
      </w:r>
      <w:r w:rsidRPr="00B5386E">
        <w:t xml:space="preserve">. Supply Risk Perceptions and Practices: An Exploratory Comparison of German and US supply Management Professionals," </w:t>
      </w:r>
      <w:r w:rsidRPr="00B5386E">
        <w:rPr>
          <w:i/>
        </w:rPr>
        <w:t xml:space="preserve">International Journal of Technology. Policy and Management. </w:t>
      </w:r>
      <w:r w:rsidRPr="00B5386E">
        <w:t>vol. 8 pp. 401-419.</w:t>
      </w:r>
    </w:p>
    <w:p w:rsidR="006F42E7" w:rsidRDefault="006F42E7" w:rsidP="006F42E7">
      <w:pPr>
        <w:pStyle w:val="ListParagraph"/>
        <w:ind w:left="567" w:hanging="567"/>
        <w:jc w:val="both"/>
      </w:pPr>
      <w:r>
        <w:rPr>
          <w:lang w:val="id-ID"/>
        </w:rPr>
        <w:t xml:space="preserve">[3] </w:t>
      </w:r>
      <w:r w:rsidRPr="00B5386E">
        <w:t xml:space="preserve">IRM, </w:t>
      </w:r>
      <w:r w:rsidRPr="00B5386E">
        <w:rPr>
          <w:i/>
        </w:rPr>
        <w:t>A Risk Management Standard</w:t>
      </w:r>
      <w:r w:rsidRPr="00B5386E">
        <w:t xml:space="preserve">. </w:t>
      </w:r>
      <w:r>
        <w:rPr>
          <w:lang w:val="id-ID"/>
        </w:rPr>
        <w:t>(</w:t>
      </w:r>
      <w:r w:rsidRPr="00B5386E">
        <w:t>2001</w:t>
      </w:r>
      <w:r>
        <w:rPr>
          <w:lang w:val="id-ID"/>
        </w:rPr>
        <w:t>)</w:t>
      </w:r>
      <w:r w:rsidRPr="00B5386E">
        <w:t>. London: The Association of Insurance and Risk Managers (AIRMIC).</w:t>
      </w:r>
    </w:p>
    <w:p w:rsidR="006F42E7" w:rsidRDefault="006F42E7" w:rsidP="006F42E7">
      <w:pPr>
        <w:pStyle w:val="ListParagraph"/>
        <w:ind w:left="567" w:hanging="567"/>
        <w:jc w:val="both"/>
        <w:rPr>
          <w:lang w:val="id-ID"/>
        </w:rPr>
      </w:pPr>
      <w:r>
        <w:rPr>
          <w:lang w:val="id-ID"/>
        </w:rPr>
        <w:t xml:space="preserve">[4] </w:t>
      </w:r>
      <w:r>
        <w:rPr>
          <w:lang w:val="id-ID"/>
        </w:rPr>
        <w:t>Delfitriani. 2018. Development of product and packaging appearance design element of dadih using customer personality type with hybrid kansei engineering approach. [Thesis]. Bogor: IPB</w:t>
      </w:r>
    </w:p>
    <w:p w:rsidR="006F42E7" w:rsidRPr="006F42E7" w:rsidRDefault="006F42E7" w:rsidP="006F42E7">
      <w:pPr>
        <w:pStyle w:val="ListParagraph"/>
        <w:ind w:left="567" w:hanging="567"/>
        <w:jc w:val="both"/>
        <w:rPr>
          <w:lang w:val="id-ID"/>
        </w:rPr>
      </w:pPr>
      <w:r>
        <w:rPr>
          <w:lang w:val="id-ID"/>
        </w:rPr>
        <w:t xml:space="preserve">[5] [BPS] Badan Pusat Statistika. 2016. Populasi Kerbau Menurut Provinsi 2009-2016. [Internet]. [Accessed 2017 December 17]. Available at </w:t>
      </w:r>
      <w:hyperlink r:id="rId21" w:history="1">
        <w:r w:rsidRPr="00ED445F">
          <w:rPr>
            <w:rStyle w:val="Hyperlink"/>
            <w:lang w:val="id-ID"/>
          </w:rPr>
          <w:t>http://www.bps.go.id/linkTable</w:t>
        </w:r>
      </w:hyperlink>
      <w:r>
        <w:rPr>
          <w:lang w:val="id-ID"/>
        </w:rPr>
        <w:t xml:space="preserve"> Dinamis/view/id/1020.</w:t>
      </w:r>
    </w:p>
    <w:p w:rsidR="006F42E7" w:rsidRDefault="006F42E7" w:rsidP="00053E8B">
      <w:pPr>
        <w:autoSpaceDE w:val="0"/>
        <w:autoSpaceDN w:val="0"/>
        <w:adjustRightInd w:val="0"/>
        <w:ind w:left="567" w:hanging="567"/>
        <w:jc w:val="both"/>
      </w:pPr>
      <w:r>
        <w:rPr>
          <w:lang w:val="id-ID"/>
        </w:rPr>
        <w:t xml:space="preserve">[6] </w:t>
      </w:r>
      <w:proofErr w:type="spellStart"/>
      <w:r w:rsidRPr="00B5386E">
        <w:t>Zesfin</w:t>
      </w:r>
      <w:proofErr w:type="spellEnd"/>
      <w:r w:rsidRPr="00B5386E">
        <w:t xml:space="preserve"> BP, </w:t>
      </w:r>
      <w:proofErr w:type="spellStart"/>
      <w:r w:rsidRPr="00B5386E">
        <w:t>Zulbardi</w:t>
      </w:r>
      <w:proofErr w:type="spellEnd"/>
      <w:r w:rsidRPr="00B5386E">
        <w:t xml:space="preserve"> M. </w:t>
      </w:r>
      <w:r>
        <w:rPr>
          <w:lang w:val="id-ID"/>
        </w:rPr>
        <w:t>(</w:t>
      </w:r>
      <w:r w:rsidRPr="00B5386E">
        <w:t>2007</w:t>
      </w:r>
      <w:r>
        <w:rPr>
          <w:lang w:val="id-ID"/>
        </w:rPr>
        <w:t>)</w:t>
      </w:r>
      <w:r w:rsidRPr="00B5386E">
        <w:t xml:space="preserve">. </w:t>
      </w:r>
      <w:proofErr w:type="spellStart"/>
      <w:r w:rsidRPr="00B5386E">
        <w:t>Potensi</w:t>
      </w:r>
      <w:proofErr w:type="spellEnd"/>
      <w:r w:rsidRPr="00B5386E">
        <w:t xml:space="preserve">, </w:t>
      </w:r>
      <w:proofErr w:type="spellStart"/>
      <w:r w:rsidRPr="00B5386E">
        <w:t>Kemampuan</w:t>
      </w:r>
      <w:proofErr w:type="spellEnd"/>
      <w:r w:rsidRPr="00B5386E">
        <w:t xml:space="preserve"> </w:t>
      </w:r>
      <w:proofErr w:type="spellStart"/>
      <w:r w:rsidRPr="00B5386E">
        <w:t>Produksi</w:t>
      </w:r>
      <w:proofErr w:type="spellEnd"/>
      <w:r w:rsidRPr="00B5386E">
        <w:t xml:space="preserve"> </w:t>
      </w:r>
      <w:proofErr w:type="spellStart"/>
      <w:r w:rsidRPr="00B5386E">
        <w:t>dan</w:t>
      </w:r>
      <w:proofErr w:type="spellEnd"/>
      <w:r w:rsidRPr="00B5386E">
        <w:t xml:space="preserve"> </w:t>
      </w:r>
      <w:proofErr w:type="spellStart"/>
      <w:r w:rsidRPr="00B5386E">
        <w:t>Reproduksi</w:t>
      </w:r>
      <w:proofErr w:type="spellEnd"/>
      <w:r w:rsidRPr="00B5386E">
        <w:t xml:space="preserve"> </w:t>
      </w:r>
      <w:proofErr w:type="spellStart"/>
      <w:r w:rsidRPr="00B5386E">
        <w:t>Kerbau</w:t>
      </w:r>
      <w:proofErr w:type="spellEnd"/>
      <w:r w:rsidRPr="00B5386E">
        <w:t xml:space="preserve"> </w:t>
      </w:r>
      <w:proofErr w:type="spellStart"/>
      <w:r w:rsidRPr="00B5386E">
        <w:t>sebagai</w:t>
      </w:r>
      <w:proofErr w:type="spellEnd"/>
      <w:r w:rsidRPr="00B5386E">
        <w:t xml:space="preserve"> </w:t>
      </w:r>
      <w:proofErr w:type="spellStart"/>
      <w:r w:rsidRPr="00B5386E">
        <w:t>Penunjang</w:t>
      </w:r>
      <w:proofErr w:type="spellEnd"/>
      <w:r w:rsidRPr="00B5386E">
        <w:t xml:space="preserve"> </w:t>
      </w:r>
      <w:proofErr w:type="spellStart"/>
      <w:r w:rsidRPr="00B5386E">
        <w:t>Ketahanan</w:t>
      </w:r>
      <w:proofErr w:type="spellEnd"/>
      <w:r w:rsidRPr="00B5386E">
        <w:t xml:space="preserve"> </w:t>
      </w:r>
      <w:proofErr w:type="spellStart"/>
      <w:r w:rsidRPr="00B5386E">
        <w:t>Pangan</w:t>
      </w:r>
      <w:proofErr w:type="spellEnd"/>
      <w:r w:rsidRPr="00B5386E">
        <w:t xml:space="preserve"> </w:t>
      </w:r>
      <w:proofErr w:type="spellStart"/>
      <w:r w:rsidRPr="00B5386E">
        <w:t>Masyarakat</w:t>
      </w:r>
      <w:proofErr w:type="spellEnd"/>
      <w:r w:rsidRPr="00B5386E">
        <w:t xml:space="preserve"> Sumatera Barat. </w:t>
      </w:r>
      <w:proofErr w:type="spellStart"/>
      <w:r w:rsidRPr="00B5386E">
        <w:rPr>
          <w:i/>
        </w:rPr>
        <w:t>Prosiding</w:t>
      </w:r>
      <w:proofErr w:type="spellEnd"/>
      <w:r w:rsidRPr="00B5386E">
        <w:rPr>
          <w:i/>
        </w:rPr>
        <w:t xml:space="preserve"> </w:t>
      </w:r>
      <w:proofErr w:type="spellStart"/>
      <w:r w:rsidRPr="00B5386E">
        <w:rPr>
          <w:i/>
        </w:rPr>
        <w:t>Semnas</w:t>
      </w:r>
      <w:proofErr w:type="spellEnd"/>
      <w:r w:rsidRPr="00B5386E">
        <w:rPr>
          <w:i/>
        </w:rPr>
        <w:t xml:space="preserve"> </w:t>
      </w:r>
      <w:proofErr w:type="spellStart"/>
      <w:r w:rsidRPr="00B5386E">
        <w:rPr>
          <w:i/>
        </w:rPr>
        <w:t>Hari</w:t>
      </w:r>
      <w:proofErr w:type="spellEnd"/>
      <w:r w:rsidRPr="00B5386E">
        <w:rPr>
          <w:i/>
        </w:rPr>
        <w:t xml:space="preserve"> </w:t>
      </w:r>
      <w:proofErr w:type="spellStart"/>
      <w:r w:rsidRPr="00B5386E">
        <w:rPr>
          <w:i/>
        </w:rPr>
        <w:t>Pangan</w:t>
      </w:r>
      <w:proofErr w:type="spellEnd"/>
      <w:r w:rsidRPr="00B5386E">
        <w:rPr>
          <w:i/>
        </w:rPr>
        <w:t xml:space="preserve"> </w:t>
      </w:r>
      <w:proofErr w:type="spellStart"/>
      <w:r w:rsidRPr="00B5386E">
        <w:rPr>
          <w:i/>
        </w:rPr>
        <w:t>Sedunia</w:t>
      </w:r>
      <w:proofErr w:type="spellEnd"/>
      <w:r w:rsidRPr="00B5386E">
        <w:rPr>
          <w:i/>
        </w:rPr>
        <w:t xml:space="preserve"> XXVII.</w:t>
      </w:r>
      <w:r w:rsidRPr="00B5386E">
        <w:t xml:space="preserve"> 256 – 261.</w:t>
      </w:r>
    </w:p>
    <w:p w:rsidR="00053E8B" w:rsidRPr="006F42E7" w:rsidRDefault="006F42E7" w:rsidP="006F42E7">
      <w:pPr>
        <w:autoSpaceDE w:val="0"/>
        <w:autoSpaceDN w:val="0"/>
        <w:adjustRightInd w:val="0"/>
        <w:ind w:left="567" w:hanging="567"/>
        <w:jc w:val="both"/>
        <w:rPr>
          <w:lang w:val="id-ID"/>
        </w:rPr>
      </w:pPr>
      <w:r>
        <w:rPr>
          <w:lang w:val="id-ID"/>
        </w:rPr>
        <w:t xml:space="preserve">[7] </w:t>
      </w:r>
      <w:proofErr w:type="spellStart"/>
      <w:r w:rsidRPr="00B5386E">
        <w:t>Usmiati</w:t>
      </w:r>
      <w:proofErr w:type="spellEnd"/>
      <w:r w:rsidRPr="00B5386E">
        <w:t xml:space="preserve"> S, </w:t>
      </w:r>
      <w:proofErr w:type="spellStart"/>
      <w:r w:rsidRPr="00B5386E">
        <w:t>Broto</w:t>
      </w:r>
      <w:proofErr w:type="spellEnd"/>
      <w:r w:rsidRPr="00B5386E">
        <w:t xml:space="preserve"> W, </w:t>
      </w:r>
      <w:proofErr w:type="spellStart"/>
      <w:r w:rsidRPr="00B5386E">
        <w:t>Setiyanto</w:t>
      </w:r>
      <w:proofErr w:type="spellEnd"/>
      <w:r w:rsidRPr="00B5386E">
        <w:t xml:space="preserve"> H. </w:t>
      </w:r>
      <w:r>
        <w:rPr>
          <w:lang w:val="id-ID"/>
        </w:rPr>
        <w:t>(</w:t>
      </w:r>
      <w:r w:rsidRPr="00B5386E">
        <w:t>2011</w:t>
      </w:r>
      <w:r>
        <w:rPr>
          <w:lang w:val="id-ID"/>
        </w:rPr>
        <w:t>)</w:t>
      </w:r>
      <w:r w:rsidRPr="00B5386E">
        <w:t xml:space="preserve">. </w:t>
      </w:r>
      <w:proofErr w:type="spellStart"/>
      <w:r w:rsidRPr="00B5386E">
        <w:t>Karakteristik</w:t>
      </w:r>
      <w:proofErr w:type="spellEnd"/>
      <w:r w:rsidRPr="00B5386E">
        <w:t xml:space="preserve"> </w:t>
      </w:r>
      <w:proofErr w:type="spellStart"/>
      <w:r w:rsidRPr="00B5386E">
        <w:t>Dadih</w:t>
      </w:r>
      <w:proofErr w:type="spellEnd"/>
      <w:r w:rsidRPr="00B5386E">
        <w:t xml:space="preserve"> </w:t>
      </w:r>
      <w:proofErr w:type="spellStart"/>
      <w:r w:rsidRPr="00B5386E">
        <w:t>Susu</w:t>
      </w:r>
      <w:proofErr w:type="spellEnd"/>
      <w:r w:rsidRPr="00B5386E">
        <w:t xml:space="preserve"> </w:t>
      </w:r>
      <w:proofErr w:type="spellStart"/>
      <w:r w:rsidRPr="00B5386E">
        <w:t>Sapi</w:t>
      </w:r>
      <w:proofErr w:type="spellEnd"/>
      <w:r w:rsidRPr="00B5386E">
        <w:t xml:space="preserve"> yang </w:t>
      </w:r>
      <w:proofErr w:type="spellStart"/>
      <w:r w:rsidRPr="00B5386E">
        <w:t>Menggunakan</w:t>
      </w:r>
      <w:proofErr w:type="spellEnd"/>
      <w:r w:rsidRPr="00B5386E">
        <w:t xml:space="preserve"> Starter </w:t>
      </w:r>
      <w:proofErr w:type="spellStart"/>
      <w:r w:rsidRPr="00B5386E">
        <w:t>Bakteri</w:t>
      </w:r>
      <w:proofErr w:type="spellEnd"/>
      <w:r w:rsidRPr="00B5386E">
        <w:t xml:space="preserve"> </w:t>
      </w:r>
      <w:proofErr w:type="spellStart"/>
      <w:r w:rsidRPr="00B5386E">
        <w:t>Probiotik</w:t>
      </w:r>
      <w:proofErr w:type="spellEnd"/>
      <w:r w:rsidRPr="00B5386E">
        <w:t xml:space="preserve">. </w:t>
      </w:r>
      <w:r w:rsidRPr="00B5386E">
        <w:rPr>
          <w:i/>
        </w:rPr>
        <w:t>JITV</w:t>
      </w:r>
      <w:r w:rsidRPr="00B5386E">
        <w:t>. 16(2):141-153.</w:t>
      </w:r>
    </w:p>
    <w:p w:rsidR="00053E8B" w:rsidRDefault="006F42E7" w:rsidP="00053E8B">
      <w:pPr>
        <w:autoSpaceDE w:val="0"/>
        <w:autoSpaceDN w:val="0"/>
        <w:adjustRightInd w:val="0"/>
        <w:ind w:left="567" w:hanging="567"/>
        <w:jc w:val="both"/>
      </w:pPr>
      <w:r>
        <w:rPr>
          <w:lang w:val="id-ID"/>
        </w:rPr>
        <w:t>[8]</w:t>
      </w:r>
      <w:r w:rsidR="00053E8B" w:rsidRPr="00B5386E">
        <w:t xml:space="preserve">Culp, Christopher L. </w:t>
      </w:r>
      <w:r w:rsidR="00053E8B">
        <w:rPr>
          <w:lang w:val="id-ID"/>
        </w:rPr>
        <w:t>(</w:t>
      </w:r>
      <w:r w:rsidR="00053E8B" w:rsidRPr="00B5386E">
        <w:t>2002</w:t>
      </w:r>
      <w:r w:rsidR="00053E8B">
        <w:rPr>
          <w:lang w:val="id-ID"/>
        </w:rPr>
        <w:t>)</w:t>
      </w:r>
      <w:r w:rsidR="00053E8B" w:rsidRPr="00B5386E">
        <w:t xml:space="preserve">. </w:t>
      </w:r>
      <w:r w:rsidR="00053E8B" w:rsidRPr="00B5386E">
        <w:rPr>
          <w:i/>
          <w:iCs/>
        </w:rPr>
        <w:t>The art of Risk Management-Alternative risk Transfer, Capital Structure, and the Convergence of Insurance and Capital Markets</w:t>
      </w:r>
      <w:r w:rsidR="00053E8B" w:rsidRPr="00B5386E">
        <w:t>.</w:t>
      </w:r>
      <w:r w:rsidR="00053E8B" w:rsidRPr="00B5386E">
        <w:rPr>
          <w:i/>
          <w:iCs/>
        </w:rPr>
        <w:t xml:space="preserve"> </w:t>
      </w:r>
      <w:r w:rsidR="00053E8B" w:rsidRPr="00B5386E">
        <w:t>New York: John Wiley &amp; Sons, Inc.</w:t>
      </w:r>
    </w:p>
    <w:p w:rsidR="006F42E7" w:rsidRDefault="006F42E7" w:rsidP="00053E8B">
      <w:pPr>
        <w:autoSpaceDE w:val="0"/>
        <w:autoSpaceDN w:val="0"/>
        <w:adjustRightInd w:val="0"/>
        <w:ind w:left="567" w:hanging="567"/>
        <w:jc w:val="both"/>
      </w:pPr>
      <w:r>
        <w:rPr>
          <w:lang w:val="id-ID"/>
        </w:rPr>
        <w:t xml:space="preserve">[9] </w:t>
      </w:r>
      <w:r w:rsidRPr="00B5386E">
        <w:t xml:space="preserve">Chapman RJ. </w:t>
      </w:r>
      <w:r>
        <w:rPr>
          <w:lang w:val="id-ID"/>
        </w:rPr>
        <w:t>(</w:t>
      </w:r>
      <w:r w:rsidRPr="00B5386E">
        <w:t>2006</w:t>
      </w:r>
      <w:r>
        <w:rPr>
          <w:lang w:val="id-ID"/>
        </w:rPr>
        <w:t>)</w:t>
      </w:r>
      <w:r w:rsidRPr="00B5386E">
        <w:t xml:space="preserve">. </w:t>
      </w:r>
      <w:r>
        <w:rPr>
          <w:i/>
          <w:iCs/>
        </w:rPr>
        <w:t>Enterprise Risk Management</w:t>
      </w:r>
      <w:r w:rsidRPr="00B5386E">
        <w:rPr>
          <w:i/>
          <w:iCs/>
        </w:rPr>
        <w:t>:</w:t>
      </w:r>
      <w:r>
        <w:rPr>
          <w:i/>
          <w:iCs/>
          <w:lang w:val="id-ID"/>
        </w:rPr>
        <w:t xml:space="preserve"> </w:t>
      </w:r>
      <w:r w:rsidRPr="00B5386E">
        <w:rPr>
          <w:i/>
          <w:iCs/>
        </w:rPr>
        <w:t xml:space="preserve">Simple Tools and Techniques. </w:t>
      </w:r>
      <w:r w:rsidRPr="00B5386E">
        <w:t>New York: John Wiley &amp; Sons, Ltd.</w:t>
      </w:r>
    </w:p>
    <w:p w:rsidR="00403C69" w:rsidRDefault="006F42E7" w:rsidP="00403C69">
      <w:pPr>
        <w:autoSpaceDE w:val="0"/>
        <w:autoSpaceDN w:val="0"/>
        <w:adjustRightInd w:val="0"/>
        <w:ind w:left="567" w:hanging="567"/>
        <w:jc w:val="both"/>
        <w:rPr>
          <w:lang w:val="id-ID"/>
        </w:rPr>
      </w:pPr>
      <w:r w:rsidRPr="006F42E7">
        <w:rPr>
          <w:lang w:val="id-ID"/>
        </w:rPr>
        <w:t xml:space="preserve">[10] </w:t>
      </w:r>
      <w:proofErr w:type="spellStart"/>
      <w:r w:rsidRPr="006F42E7">
        <w:t>Sugitha</w:t>
      </w:r>
      <w:proofErr w:type="spellEnd"/>
      <w:r w:rsidRPr="006F42E7">
        <w:t xml:space="preserve"> I</w:t>
      </w:r>
      <w:r w:rsidRPr="006F42E7">
        <w:t xml:space="preserve">M. 1995. </w:t>
      </w:r>
      <w:proofErr w:type="spellStart"/>
      <w:r w:rsidRPr="006F42E7">
        <w:t>Dadih</w:t>
      </w:r>
      <w:proofErr w:type="spellEnd"/>
      <w:r w:rsidRPr="006F42E7">
        <w:t xml:space="preserve"> </w:t>
      </w:r>
      <w:proofErr w:type="spellStart"/>
      <w:r w:rsidRPr="006F42E7">
        <w:t>Olahan</w:t>
      </w:r>
      <w:proofErr w:type="spellEnd"/>
      <w:r w:rsidRPr="006F42E7">
        <w:t xml:space="preserve"> </w:t>
      </w:r>
      <w:proofErr w:type="spellStart"/>
      <w:r w:rsidRPr="006F42E7">
        <w:t>Susu</w:t>
      </w:r>
      <w:proofErr w:type="spellEnd"/>
      <w:r w:rsidRPr="006F42E7">
        <w:t xml:space="preserve"> </w:t>
      </w:r>
      <w:proofErr w:type="spellStart"/>
      <w:r w:rsidRPr="006F42E7">
        <w:t>Kerbau</w:t>
      </w:r>
      <w:proofErr w:type="spellEnd"/>
      <w:r w:rsidRPr="006F42E7">
        <w:t xml:space="preserve"> </w:t>
      </w:r>
      <w:proofErr w:type="spellStart"/>
      <w:r w:rsidRPr="006F42E7">
        <w:t>Tradisional</w:t>
      </w:r>
      <w:proofErr w:type="spellEnd"/>
      <w:r w:rsidRPr="006F42E7">
        <w:t xml:space="preserve"> </w:t>
      </w:r>
      <w:proofErr w:type="spellStart"/>
      <w:r w:rsidRPr="006F42E7">
        <w:t>Minang</w:t>
      </w:r>
      <w:proofErr w:type="spellEnd"/>
      <w:r w:rsidRPr="006F42E7">
        <w:t xml:space="preserve">, </w:t>
      </w:r>
      <w:proofErr w:type="spellStart"/>
      <w:r w:rsidRPr="006F42E7">
        <w:t>Manfaat</w:t>
      </w:r>
      <w:proofErr w:type="spellEnd"/>
      <w:r w:rsidRPr="006F42E7">
        <w:t xml:space="preserve">, </w:t>
      </w:r>
      <w:proofErr w:type="spellStart"/>
      <w:r w:rsidRPr="006F42E7">
        <w:t>Kendala</w:t>
      </w:r>
      <w:proofErr w:type="spellEnd"/>
      <w:r w:rsidRPr="006F42E7">
        <w:t xml:space="preserve"> </w:t>
      </w:r>
      <w:proofErr w:type="spellStart"/>
      <w:r w:rsidRPr="006F42E7">
        <w:t>dan</w:t>
      </w:r>
      <w:proofErr w:type="spellEnd"/>
      <w:r w:rsidRPr="006F42E7">
        <w:t xml:space="preserve"> </w:t>
      </w:r>
      <w:proofErr w:type="spellStart"/>
      <w:r w:rsidRPr="006F42E7">
        <w:t>Prospeknya</w:t>
      </w:r>
      <w:proofErr w:type="spellEnd"/>
      <w:r w:rsidRPr="006F42E7">
        <w:t xml:space="preserve"> </w:t>
      </w:r>
      <w:proofErr w:type="spellStart"/>
      <w:r w:rsidRPr="006F42E7">
        <w:t>dalam</w:t>
      </w:r>
      <w:proofErr w:type="spellEnd"/>
      <w:r w:rsidRPr="006F42E7">
        <w:t xml:space="preserve"> Era Industrial Sumatra Barat. </w:t>
      </w:r>
      <w:r w:rsidRPr="006F42E7">
        <w:rPr>
          <w:i/>
          <w:iCs/>
        </w:rPr>
        <w:t xml:space="preserve">Seminar THT </w:t>
      </w:r>
      <w:proofErr w:type="spellStart"/>
      <w:r w:rsidRPr="006F42E7">
        <w:rPr>
          <w:i/>
          <w:iCs/>
        </w:rPr>
        <w:t>dan</w:t>
      </w:r>
      <w:proofErr w:type="spellEnd"/>
      <w:r w:rsidRPr="006F42E7">
        <w:rPr>
          <w:i/>
          <w:iCs/>
        </w:rPr>
        <w:t xml:space="preserve"> </w:t>
      </w:r>
      <w:proofErr w:type="spellStart"/>
      <w:r w:rsidRPr="006F42E7">
        <w:rPr>
          <w:i/>
          <w:iCs/>
        </w:rPr>
        <w:t>Gizi</w:t>
      </w:r>
      <w:proofErr w:type="spellEnd"/>
      <w:r w:rsidRPr="006F42E7">
        <w:rPr>
          <w:i/>
          <w:iCs/>
        </w:rPr>
        <w:t xml:space="preserve"> </w:t>
      </w:r>
      <w:proofErr w:type="spellStart"/>
      <w:r w:rsidRPr="006F42E7">
        <w:rPr>
          <w:i/>
          <w:iCs/>
        </w:rPr>
        <w:t>Masyarakat</w:t>
      </w:r>
      <w:proofErr w:type="spellEnd"/>
      <w:r w:rsidRPr="006F42E7">
        <w:t>. Padang</w:t>
      </w:r>
      <w:r w:rsidR="00403C69">
        <w:rPr>
          <w:lang w:val="id-ID"/>
        </w:rPr>
        <w:t>.</w:t>
      </w:r>
    </w:p>
    <w:p w:rsidR="00403C69" w:rsidRDefault="00403C69" w:rsidP="00403C69">
      <w:pPr>
        <w:autoSpaceDE w:val="0"/>
        <w:autoSpaceDN w:val="0"/>
        <w:adjustRightInd w:val="0"/>
        <w:ind w:left="567" w:hanging="567"/>
        <w:jc w:val="both"/>
        <w:rPr>
          <w:rFonts w:eastAsiaTheme="minorHAnsi"/>
          <w:lang w:val="id-ID"/>
        </w:rPr>
      </w:pPr>
      <w:r>
        <w:rPr>
          <w:lang w:val="id-ID"/>
        </w:rPr>
        <w:t xml:space="preserve">[11] </w:t>
      </w:r>
      <w:r>
        <w:rPr>
          <w:rFonts w:eastAsiaTheme="minorHAnsi"/>
          <w:lang w:val="id-ID"/>
        </w:rPr>
        <w:t>Rahman A, S Fardiaz, WP</w:t>
      </w:r>
      <w:r w:rsidRPr="00403C69">
        <w:rPr>
          <w:rFonts w:eastAsiaTheme="minorHAnsi"/>
          <w:lang w:val="id-ID"/>
        </w:rPr>
        <w:t xml:space="preserve"> Rahaju, Suli</w:t>
      </w:r>
      <w:r>
        <w:rPr>
          <w:rFonts w:eastAsiaTheme="minorHAnsi"/>
          <w:lang w:val="id-ID"/>
        </w:rPr>
        <w:t xml:space="preserve">antari dan CC </w:t>
      </w:r>
      <w:r w:rsidRPr="00403C69">
        <w:rPr>
          <w:rFonts w:eastAsiaTheme="minorHAnsi"/>
          <w:lang w:val="id-ID"/>
        </w:rPr>
        <w:t xml:space="preserve">Nurwitri. 1992. </w:t>
      </w:r>
      <w:r w:rsidRPr="00403C69">
        <w:rPr>
          <w:rFonts w:eastAsiaTheme="minorHAnsi"/>
          <w:i/>
          <w:iCs/>
          <w:lang w:val="id-ID"/>
        </w:rPr>
        <w:t>Bahan Pengajaran Teknologi Fermentasi Susu</w:t>
      </w:r>
      <w:r w:rsidRPr="00403C69">
        <w:rPr>
          <w:rFonts w:eastAsiaTheme="minorHAnsi"/>
          <w:lang w:val="id-ID"/>
        </w:rPr>
        <w:t xml:space="preserve">. Pusat </w:t>
      </w:r>
      <w:r w:rsidRPr="00403C69">
        <w:rPr>
          <w:rFonts w:eastAsiaTheme="minorHAnsi"/>
          <w:lang w:val="id-ID"/>
        </w:rPr>
        <w:t>Antar Universitas Pangan dan</w:t>
      </w:r>
      <w:r>
        <w:rPr>
          <w:rFonts w:eastAsiaTheme="minorHAnsi"/>
          <w:lang w:val="id-ID"/>
        </w:rPr>
        <w:t xml:space="preserve"> Gizi:</w:t>
      </w:r>
      <w:r w:rsidRPr="00403C69">
        <w:rPr>
          <w:rFonts w:eastAsiaTheme="minorHAnsi"/>
          <w:lang w:val="id-ID"/>
        </w:rPr>
        <w:t xml:space="preserve"> Institut Pertanian Bogor</w:t>
      </w:r>
      <w:r>
        <w:rPr>
          <w:rFonts w:eastAsiaTheme="minorHAnsi"/>
          <w:lang w:val="id-ID"/>
        </w:rPr>
        <w:t>.</w:t>
      </w:r>
    </w:p>
    <w:p w:rsidR="00403C69" w:rsidRPr="00403C69" w:rsidRDefault="00403C69" w:rsidP="00403C69">
      <w:pPr>
        <w:autoSpaceDE w:val="0"/>
        <w:autoSpaceDN w:val="0"/>
        <w:adjustRightInd w:val="0"/>
        <w:ind w:left="567" w:hanging="567"/>
        <w:jc w:val="both"/>
        <w:rPr>
          <w:rFonts w:eastAsiaTheme="minorHAnsi"/>
          <w:lang w:val="id-ID"/>
        </w:rPr>
      </w:pPr>
      <w:r w:rsidRPr="00403C69">
        <w:rPr>
          <w:rFonts w:eastAsiaTheme="minorHAnsi"/>
          <w:lang w:val="id-ID"/>
        </w:rPr>
        <w:t xml:space="preserve">[12] </w:t>
      </w:r>
      <w:r>
        <w:rPr>
          <w:rFonts w:eastAsiaTheme="minorHAnsi"/>
          <w:lang w:val="id-ID"/>
        </w:rPr>
        <w:t>Salminen S</w:t>
      </w:r>
      <w:r w:rsidRPr="00403C69">
        <w:rPr>
          <w:rFonts w:eastAsiaTheme="minorHAnsi"/>
          <w:lang w:val="id-ID"/>
        </w:rPr>
        <w:t>, Ouwehan</w:t>
      </w:r>
      <w:r>
        <w:rPr>
          <w:rFonts w:eastAsiaTheme="minorHAnsi"/>
          <w:lang w:val="id-ID"/>
        </w:rPr>
        <w:t>d A, Benno Y, and Lee Y</w:t>
      </w:r>
      <w:r w:rsidRPr="00403C69">
        <w:rPr>
          <w:rFonts w:eastAsiaTheme="minorHAnsi"/>
          <w:lang w:val="id-ID"/>
        </w:rPr>
        <w:t xml:space="preserve">K. </w:t>
      </w:r>
      <w:r w:rsidRPr="00403C69">
        <w:rPr>
          <w:rFonts w:eastAsiaTheme="minorHAnsi"/>
          <w:lang w:val="id-ID"/>
        </w:rPr>
        <w:t>1999. Probiotics: How</w:t>
      </w:r>
      <w:r w:rsidRPr="00403C69">
        <w:rPr>
          <w:rFonts w:eastAsiaTheme="minorHAnsi"/>
          <w:lang w:val="id-ID"/>
        </w:rPr>
        <w:t xml:space="preserve"> should they be defined? Trends </w:t>
      </w:r>
      <w:r w:rsidRPr="00403C69">
        <w:rPr>
          <w:rFonts w:eastAsiaTheme="minorHAnsi"/>
          <w:lang w:val="id-ID"/>
        </w:rPr>
        <w:t>Food Sci. Technol. 10: 107–110.</w:t>
      </w:r>
    </w:p>
    <w:p w:rsidR="00914E17" w:rsidRPr="00914E17" w:rsidRDefault="00914E17" w:rsidP="00053E8B">
      <w:pPr>
        <w:autoSpaceDE w:val="0"/>
        <w:autoSpaceDN w:val="0"/>
        <w:adjustRightInd w:val="0"/>
        <w:ind w:left="567" w:hanging="567"/>
        <w:jc w:val="both"/>
        <w:rPr>
          <w:i/>
          <w:iCs/>
          <w:lang w:val="id-ID"/>
        </w:rPr>
      </w:pPr>
    </w:p>
    <w:p w:rsidR="00053E8B" w:rsidRPr="00B5386E" w:rsidRDefault="00053E8B" w:rsidP="00053E8B">
      <w:pPr>
        <w:ind w:left="567" w:hanging="567"/>
        <w:jc w:val="both"/>
      </w:pPr>
    </w:p>
    <w:p w:rsidR="00053E8B" w:rsidRPr="00B5386E" w:rsidRDefault="00053E8B" w:rsidP="00053E8B">
      <w:pPr>
        <w:ind w:left="567" w:hanging="567"/>
        <w:jc w:val="both"/>
      </w:pPr>
    </w:p>
    <w:p w:rsidR="00053E8B" w:rsidRPr="00B5386E" w:rsidRDefault="00053E8B" w:rsidP="00053E8B">
      <w:pPr>
        <w:ind w:left="567" w:hanging="567"/>
        <w:jc w:val="both"/>
      </w:pPr>
    </w:p>
    <w:p w:rsidR="00053E8B" w:rsidRPr="00B5386E" w:rsidRDefault="00053E8B" w:rsidP="00053E8B">
      <w:pPr>
        <w:ind w:left="567" w:hanging="567"/>
        <w:jc w:val="both"/>
      </w:pPr>
    </w:p>
    <w:p w:rsidR="00053E8B" w:rsidRPr="00053E8B" w:rsidRDefault="00053E8B" w:rsidP="00053E8B">
      <w:pPr>
        <w:rPr>
          <w:lang w:val="pt-BR"/>
        </w:rPr>
      </w:pPr>
    </w:p>
    <w:p w:rsidR="004312BB" w:rsidRPr="0079039F" w:rsidRDefault="004312BB" w:rsidP="00914E17">
      <w:pPr>
        <w:jc w:val="both"/>
        <w:rPr>
          <w:lang w:val="id-ID"/>
        </w:rPr>
      </w:pPr>
      <w:r w:rsidRPr="0079039F">
        <w:rPr>
          <w:lang w:val="id-ID"/>
        </w:rPr>
        <w:tab/>
      </w:r>
    </w:p>
    <w:p w:rsidR="00147489" w:rsidRDefault="00147489" w:rsidP="00147489">
      <w:pPr>
        <w:rPr>
          <w:lang w:val="id-ID"/>
        </w:rPr>
      </w:pPr>
    </w:p>
    <w:sectPr w:rsidR="00147489" w:rsidSect="00595E89">
      <w:headerReference w:type="default" r:id="rId22"/>
      <w:footerReference w:type="default" r:id="rId23"/>
      <w:headerReference w:type="first" r:id="rId24"/>
      <w:footerReference w:type="first" r:id="rId25"/>
      <w:pgSz w:w="11909" w:h="16834" w:code="9"/>
      <w:pgMar w:top="2268" w:right="1418" w:bottom="1418" w:left="1701" w:header="68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EA" w:rsidRDefault="00047DEA" w:rsidP="004312BB">
      <w:r>
        <w:separator/>
      </w:r>
    </w:p>
  </w:endnote>
  <w:endnote w:type="continuationSeparator" w:id="0">
    <w:p w:rsidR="00047DEA" w:rsidRDefault="00047DEA" w:rsidP="0043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38" w:rsidRDefault="00820538">
    <w:pPr>
      <w:pStyle w:val="Footer"/>
      <w:pBdr>
        <w:top w:val="thinThickSmallGap" w:sz="24" w:space="1" w:color="622423" w:themeColor="accent2" w:themeShade="7F"/>
      </w:pBdr>
      <w:rPr>
        <w:rFonts w:asciiTheme="majorHAnsi" w:hAnsiTheme="majorHAnsi"/>
      </w:rPr>
    </w:pPr>
    <w:r w:rsidRPr="00D64D31">
      <w:rPr>
        <w:i/>
        <w:lang w:val="id-ID"/>
      </w:rPr>
      <w:t>Sustainable Environment Agricultural Science</w:t>
    </w:r>
    <w:r>
      <w:rPr>
        <w:i/>
        <w:lang w:val="id-ID"/>
      </w:rPr>
      <w:t xml:space="preserve"> (SEAS)© All Right </w:t>
    </w:r>
    <w:r w:rsidRPr="00317091">
      <w:rPr>
        <w:i/>
        <w:lang w:val="id-ID"/>
      </w:rPr>
      <w:t>Reserved</w:t>
    </w:r>
    <w:r w:rsidRPr="00317091">
      <w:ptab w:relativeTo="margin" w:alignment="right" w:leader="none"/>
    </w:r>
    <w:r w:rsidRPr="00317091">
      <w:t xml:space="preserve">Page </w:t>
    </w:r>
    <w:r>
      <w:fldChar w:fldCharType="begin"/>
    </w:r>
    <w:r>
      <w:instrText xml:space="preserve"> PAGE   \* MERGEFORMAT </w:instrText>
    </w:r>
    <w:r>
      <w:fldChar w:fldCharType="separate"/>
    </w:r>
    <w:r w:rsidR="002E6D2F">
      <w:rPr>
        <w:noProof/>
      </w:rPr>
      <w:t>5</w:t>
    </w:r>
    <w:r>
      <w:rPr>
        <w:noProof/>
      </w:rPr>
      <w:fldChar w:fldCharType="end"/>
    </w:r>
  </w:p>
  <w:p w:rsidR="00820538" w:rsidRDefault="00820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38" w:rsidRDefault="00820538">
    <w:pPr>
      <w:pStyle w:val="Footer"/>
      <w:pBdr>
        <w:bottom w:val="single" w:sz="6" w:space="1" w:color="auto"/>
      </w:pBdr>
      <w:rPr>
        <w:i/>
        <w:lang w:val="id-ID"/>
      </w:rPr>
    </w:pPr>
  </w:p>
  <w:p w:rsidR="00820538" w:rsidRDefault="00820538" w:rsidP="00A029F3">
    <w:pPr>
      <w:pStyle w:val="Footer"/>
      <w:tabs>
        <w:tab w:val="clear" w:pos="9026"/>
        <w:tab w:val="right" w:pos="8789"/>
      </w:tabs>
      <w:spacing w:after="240"/>
    </w:pPr>
    <w:r>
      <w:rPr>
        <w:i/>
        <w:lang w:val="en-ID"/>
      </w:rPr>
      <w:t xml:space="preserve">SEAS </w:t>
    </w:r>
    <w:r>
      <w:rPr>
        <w:i/>
        <w:lang w:val="id-ID"/>
      </w:rPr>
      <w:t>© All Right Reserved</w:t>
    </w:r>
    <w:r>
      <w:rPr>
        <w:i/>
        <w:lang w:val="id-ID"/>
      </w:rPr>
      <w:tab/>
    </w:r>
    <w:r>
      <w:rPr>
        <w:i/>
        <w:lang w:val="id-ID"/>
      </w:rPr>
      <w:tab/>
      <w:t xml:space="preserve"> </w:t>
    </w:r>
    <w:r>
      <w:rPr>
        <w:lang w:val="id-ID"/>
      </w:rP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EA" w:rsidRDefault="00047DEA" w:rsidP="004312BB">
      <w:r>
        <w:separator/>
      </w:r>
    </w:p>
  </w:footnote>
  <w:footnote w:type="continuationSeparator" w:id="0">
    <w:p w:rsidR="00047DEA" w:rsidRDefault="00047DEA" w:rsidP="0043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38" w:rsidRDefault="00820538">
    <w:pPr>
      <w:pStyle w:val="Header"/>
      <w:pBdr>
        <w:bottom w:val="single" w:sz="6" w:space="1" w:color="auto"/>
      </w:pBdr>
      <w:rPr>
        <w:i/>
        <w:lang w:val="id-ID"/>
      </w:rPr>
    </w:pPr>
  </w:p>
  <w:p w:rsidR="00820538" w:rsidRDefault="00820538">
    <w:pPr>
      <w:pStyle w:val="Header"/>
      <w:pBdr>
        <w:bottom w:val="single" w:sz="6" w:space="1" w:color="auto"/>
      </w:pBdr>
      <w:rPr>
        <w:i/>
        <w:lang w:val="id-ID"/>
      </w:rPr>
    </w:pPr>
  </w:p>
  <w:p w:rsidR="00820538" w:rsidRDefault="00820538">
    <w:pPr>
      <w:pStyle w:val="Header"/>
      <w:pBdr>
        <w:bottom w:val="single" w:sz="6" w:space="1" w:color="auto"/>
      </w:pBdr>
      <w:rPr>
        <w:i/>
        <w:lang w:val="id-ID"/>
      </w:rPr>
    </w:pPr>
  </w:p>
  <w:p w:rsidR="00820538" w:rsidRDefault="00820538">
    <w:pPr>
      <w:pStyle w:val="Header"/>
      <w:pBdr>
        <w:bottom w:val="single" w:sz="6" w:space="1" w:color="auto"/>
      </w:pBdr>
      <w:rPr>
        <w:i/>
        <w:lang w:val="id-ID"/>
      </w:rPr>
    </w:pPr>
    <w:r w:rsidRPr="00935135">
      <w:rPr>
        <w:i/>
        <w:lang w:val="id-ID"/>
      </w:rPr>
      <w:t>Title (times new romans 10 pt, italics)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38" w:rsidRPr="003A5D6A" w:rsidRDefault="00820538" w:rsidP="00E220FB">
    <w:pPr>
      <w:pStyle w:val="Header"/>
      <w:tabs>
        <w:tab w:val="clear" w:pos="4320"/>
        <w:tab w:val="clear" w:pos="8640"/>
        <w:tab w:val="left" w:pos="7642"/>
      </w:tabs>
      <w:ind w:right="45"/>
      <w:rPr>
        <w:b/>
        <w:sz w:val="28"/>
        <w:szCs w:val="28"/>
        <w:lang w:val="id-ID"/>
      </w:rPr>
    </w:pPr>
    <w:r>
      <w:rPr>
        <w:b/>
        <w:noProof/>
        <w:sz w:val="28"/>
        <w:szCs w:val="28"/>
        <w:lang w:val="id-ID" w:eastAsia="id-ID"/>
      </w:rPr>
      <mc:AlternateContent>
        <mc:Choice Requires="wps">
          <w:drawing>
            <wp:anchor distT="45720" distB="45720" distL="114300" distR="114300" simplePos="0" relativeHeight="251661312" behindDoc="0" locked="0" layoutInCell="1" allowOverlap="1">
              <wp:simplePos x="0" y="0"/>
              <wp:positionH relativeFrom="column">
                <wp:posOffset>4457700</wp:posOffset>
              </wp:positionH>
              <wp:positionV relativeFrom="paragraph">
                <wp:posOffset>-22860</wp:posOffset>
              </wp:positionV>
              <wp:extent cx="1071880" cy="250190"/>
              <wp:effectExtent l="0" t="0" r="4445"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538" w:rsidRPr="00B65F04" w:rsidRDefault="00820538" w:rsidP="00B65F04">
                          <w:pPr>
                            <w:pStyle w:val="Header"/>
                            <w:tabs>
                              <w:tab w:val="clear" w:pos="4320"/>
                              <w:tab w:val="clear" w:pos="8640"/>
                              <w:tab w:val="left" w:pos="7938"/>
                              <w:tab w:val="right" w:pos="8789"/>
                            </w:tabs>
                            <w:jc w:val="right"/>
                            <w:rPr>
                              <w:lang w:val="en-ID"/>
                            </w:rPr>
                          </w:pPr>
                          <w:r>
                            <w:rPr>
                              <w:lang w:val="en-ID"/>
                            </w:rPr>
                            <w:t>ISSN</w:t>
                          </w:r>
                          <w:r w:rsidRPr="0079039F">
                            <w:rPr>
                              <w:lang w:val="id-ID"/>
                            </w:rPr>
                            <w:t xml:space="preserve"> </w:t>
                          </w:r>
                          <w:r>
                            <w:rPr>
                              <w:lang w:val="en-ID"/>
                            </w:rPr>
                            <w:t>2614-0934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1.8pt;width:84.4pt;height:1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1ftgIAALsFAAAOAAAAZHJzL2Uyb0RvYy54bWysVNtunDAQfa/Uf7D8TriU3QUUNkqWpaqU&#10;XqSkH+A1ZrEKNrW9C2nVf+/Y7C3JS9WWBwt7xmcu53iub8auRXumNJcix+FVgBETVFZcbHP89bH0&#10;Eoy0IaIirRQsx09M45vl2zfXQ5+xSDayrZhCACJ0NvQ5bozpM9/XtGEd0VeyZwKMtVQdMbBVW79S&#10;ZAD0rvWjIJj7g1RVryRlWsNpMRnx0uHXNaPmc11rZlCbY8jNuFW5dWNXf3lNsq0ifcPpIQ3yF1l0&#10;hAsIeoIqiCFop/grqI5TJbWszRWVnS/rmlPmaoBqwuBFNQ8N6ZmrBZqj+1Ob9P+DpZ/2XxTiVY7f&#10;YSRIBxQ9stGgOzmiyHZn6HUGTg89uJkRjoFlV6nu7yX9ppGQq4aILbtVSg4NIxVkF9qb/sXVCUdb&#10;kM3wUVYQhuyMdEBjrTrbOmgGAnRg6enEjE2F2pDBIkwSMFGwRbMgTB11PsmOt3ulzXsmO2R/cqyA&#10;eYdO9vfa2GxIdnSxwYQseds69lvx7AAcpxOIDVetzWbhyPyZBuk6WSexF0fztRcHReHdlqvYm5fh&#10;Yla8K1arIvxl44Zx1vCqYsKGOQorjP+MuIPEJ0mcpKVlyysLZ1PSartZtQrtCQi7dJ/rOVjObv7z&#10;NFwToJYXJYVRHNxFqVfOk4UXl/HMSxdB4kGP79J5EKdxUT4v6Z4L9u8loSHH6SyaTWI6J/2itsB9&#10;r2sjWccNjI6WdzlOTk4ksxJci8pRawhvp/+LVtj0z60Auo9EO8FajU5qNeNmBBSr4o2snkC6SoKy&#10;QIQw7+CnkeoHRgPMjhzr7zuiGEbtBwHyT8M4tsPGbeLZIoKNurRsLi1EUIDKMTUKo2mzMtOI2vWK&#10;bxuINT05IW/h0dTc6fmc1+GpwYRwZR2mmR1Bl3vndZ65y98AAAD//wMAUEsDBBQABgAIAAAAIQBi&#10;+vlu3wAAAAkBAAAPAAAAZHJzL2Rvd25yZXYueG1sTI/RSsNAEEXfBf9hGcEXaXdtMQkxkyJCQYo+&#10;tPoBk+w0W5rdDdltGv/e9Ukfh7nce061mW0vJh7DyTuEx6UCwa71+uQ6hK/P7aIAESI5Tb13jPDN&#10;ATb17U1FpfZXt+fpEDuRSlwoCcHEOJRShtawpbD0A7v0O/rRUkzn2Ek90jWV216ulMqkpZNLC4YG&#10;fjXcng8Xi/BgBvXxfnxrtjprzXkXKLfTDvH+bn55BhF5jn9h+MVP6FAnpsZfnA6iR8jVKrlEhMU6&#10;A5ECRa6SS4OwfipA1pX8b1D/AAAA//8DAFBLAQItABQABgAIAAAAIQC2gziS/gAAAOEBAAATAAAA&#10;AAAAAAAAAAAAAAAAAABbQ29udGVudF9UeXBlc10ueG1sUEsBAi0AFAAGAAgAAAAhADj9If/WAAAA&#10;lAEAAAsAAAAAAAAAAAAAAAAALwEAAF9yZWxzLy5yZWxzUEsBAi0AFAAGAAgAAAAhALfcPV+2AgAA&#10;uwUAAA4AAAAAAAAAAAAAAAAALgIAAGRycy9lMm9Eb2MueG1sUEsBAi0AFAAGAAgAAAAhAGL6+W7f&#10;AAAACQEAAA8AAAAAAAAAAAAAAAAAEAUAAGRycy9kb3ducmV2LnhtbFBLBQYAAAAABAAEAPMAAAAc&#10;BgAAAAA=&#10;" filled="f" stroked="f">
              <v:textbox>
                <w:txbxContent>
                  <w:p w:rsidR="00820538" w:rsidRPr="00B65F04" w:rsidRDefault="00820538" w:rsidP="00B65F04">
                    <w:pPr>
                      <w:pStyle w:val="Header"/>
                      <w:tabs>
                        <w:tab w:val="clear" w:pos="4320"/>
                        <w:tab w:val="clear" w:pos="8640"/>
                        <w:tab w:val="left" w:pos="7938"/>
                        <w:tab w:val="right" w:pos="8789"/>
                      </w:tabs>
                      <w:jc w:val="right"/>
                      <w:rPr>
                        <w:lang w:val="en-ID"/>
                      </w:rPr>
                    </w:pPr>
                    <w:r>
                      <w:rPr>
                        <w:lang w:val="en-ID"/>
                      </w:rPr>
                      <w:t>ISSN</w:t>
                    </w:r>
                    <w:r w:rsidRPr="0079039F">
                      <w:rPr>
                        <w:lang w:val="id-ID"/>
                      </w:rPr>
                      <w:t xml:space="preserve"> </w:t>
                    </w:r>
                    <w:r>
                      <w:rPr>
                        <w:lang w:val="en-ID"/>
                      </w:rPr>
                      <w:t>2614-0934</w:t>
                    </w:r>
                  </w:p>
                </w:txbxContent>
              </v:textbox>
              <w10:wrap type="square"/>
            </v:shape>
          </w:pict>
        </mc:Fallback>
      </mc:AlternateContent>
    </w:r>
    <w:r>
      <w:rPr>
        <w:b/>
        <w:sz w:val="28"/>
        <w:szCs w:val="28"/>
        <w:lang w:val="en-ID"/>
      </w:rPr>
      <w:t>SEAS (</w:t>
    </w:r>
    <w:r w:rsidRPr="003A5D6A">
      <w:rPr>
        <w:b/>
        <w:sz w:val="28"/>
        <w:szCs w:val="28"/>
        <w:lang w:val="id-ID"/>
      </w:rPr>
      <w:t>Sustainable Environment Agricultural Science</w:t>
    </w:r>
    <w:r>
      <w:rPr>
        <w:b/>
        <w:sz w:val="28"/>
        <w:szCs w:val="28"/>
        <w:lang w:val="en-ID"/>
      </w:rPr>
      <w:t>)</w:t>
    </w:r>
    <w:r>
      <w:rPr>
        <w:b/>
        <w:sz w:val="28"/>
        <w:szCs w:val="28"/>
        <w:lang w:val="id-ID"/>
      </w:rPr>
      <w:tab/>
    </w:r>
  </w:p>
  <w:p w:rsidR="00820538" w:rsidRPr="00E220FB" w:rsidRDefault="00820538" w:rsidP="00E220FB">
    <w:pPr>
      <w:pStyle w:val="Header"/>
      <w:tabs>
        <w:tab w:val="clear" w:pos="4320"/>
        <w:tab w:val="clear" w:pos="8640"/>
      </w:tabs>
      <w:ind w:right="45"/>
      <w:rPr>
        <w:rStyle w:val="Hyperlink"/>
        <w:color w:val="auto"/>
        <w:u w:val="none"/>
        <w:lang w:val="id-ID"/>
      </w:rPr>
    </w:pPr>
    <w:hyperlink r:id="rId1" w:history="1">
      <w:r w:rsidRPr="00496599">
        <w:rPr>
          <w:rStyle w:val="Hyperlink"/>
          <w:lang w:val="id-ID"/>
        </w:rPr>
        <w:t>http://ejournal.warmadewa.ac.id/index.php/seas</w:t>
      </w:r>
    </w:hyperlink>
  </w:p>
  <w:p w:rsidR="00820538" w:rsidRPr="0079039F" w:rsidRDefault="00820538" w:rsidP="0079039F">
    <w:pPr>
      <w:pStyle w:val="Header"/>
      <w:tabs>
        <w:tab w:val="clear" w:pos="4320"/>
        <w:tab w:val="clear" w:pos="8640"/>
      </w:tabs>
      <w:ind w:right="45"/>
      <w:rPr>
        <w:lang w:val="id-ID"/>
      </w:rPr>
    </w:pPr>
    <w:r w:rsidRPr="0079039F">
      <w:t xml:space="preserve">Vol. </w:t>
    </w:r>
    <w:r w:rsidRPr="0079039F">
      <w:rPr>
        <w:lang w:val="id-ID"/>
      </w:rPr>
      <w:t>xx,</w:t>
    </w:r>
    <w:r w:rsidRPr="0079039F">
      <w:t xml:space="preserve"> </w:t>
    </w:r>
    <w:r w:rsidRPr="0079039F">
      <w:rPr>
        <w:lang w:val="id-ID"/>
      </w:rPr>
      <w:t>Number</w:t>
    </w:r>
    <w:r w:rsidRPr="0079039F">
      <w:t xml:space="preserve"> </w:t>
    </w:r>
    <w:r w:rsidRPr="0079039F">
      <w:rPr>
        <w:lang w:val="id-ID"/>
      </w:rPr>
      <w:t>xx</w:t>
    </w:r>
    <w:r w:rsidRPr="0079039F">
      <w:t>, Month 201</w:t>
    </w:r>
    <w:r w:rsidRPr="0079039F">
      <w:rPr>
        <w:lang w:val="id-ID"/>
      </w:rPr>
      <w:t>x</w:t>
    </w:r>
    <w:r w:rsidRPr="0079039F">
      <w:t xml:space="preserve">, pages: </w:t>
    </w:r>
    <w:proofErr w:type="spellStart"/>
    <w:r w:rsidRPr="0079039F">
      <w:t>xx~xx</w:t>
    </w:r>
    <w:proofErr w:type="spellEnd"/>
  </w:p>
  <w:p w:rsidR="00820538" w:rsidRPr="0079039F" w:rsidRDefault="00820538" w:rsidP="0079039F">
    <w:pPr>
      <w:pStyle w:val="Header"/>
      <w:tabs>
        <w:tab w:val="clear" w:pos="4320"/>
        <w:tab w:val="clear" w:pos="8640"/>
      </w:tabs>
      <w:ind w:right="45"/>
      <w:rPr>
        <w:lang w:val="id-ID"/>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78740</wp:posOffset>
              </wp:positionV>
              <wp:extent cx="5601970" cy="0"/>
              <wp:effectExtent l="12700" t="21590" r="14605"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254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6503F6" id="_x0000_t32" coordsize="21600,21600" o:spt="32" o:oned="t" path="m,l21600,21600e" filled="f">
              <v:path arrowok="t" fillok="f" o:connecttype="none"/>
              <o:lock v:ext="edit" shapetype="t"/>
            </v:shapetype>
            <v:shape id="AutoShape 1" o:spid="_x0000_s1026" type="#_x0000_t32" style="position:absolute;margin-left:1pt;margin-top:6.2pt;width:44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LPIQIAADwEAAAOAAAAZHJzL2Uyb0RvYy54bWysU8uu2yAQ3VfqPyD2ie1c52XFuYrspJvb&#10;NtK9/QACOEbFgIDEiar+ewfyaNNuqqobDGbmzMw5h8XzqZPoyK0TWpU4G6YYcUU1E2pf4i9vm8EM&#10;I+eJYkRqxUt85g4/L9+/W/Sm4CPdasm4RQCiXNGbErfemyJJHG15R9xQG67gstG2Ix6Odp8wS3pA&#10;72QyStNJ0mvLjNWUOwd/68slXkb8puHUf24axz2SJYbefFxtXHdhTZYLUuwtMa2g1zbIP3TREaGg&#10;6B2qJp6ggxV/QHWCWu1044dUd4luGkF5nAGmydLfpnltieFxFiDHmTtN7v/B0k/HrUWClXiEkSId&#10;SLQ6eB0royzQ0xtXQFSltjYMSE/q1bxo+tUhpauWqD2PwW9nA7kxI3lICQdnoMiu/6gZxBDAj1yd&#10;GtsFSGABnaIk57sk/OQRhZ/jSZrNp6Acvd0lpLglGuv8B647FDYldt4SsW99pZUC4bXNYhlyfHEe&#10;BoHEW0KoqvRGSBn1lwr1QMA4T9OY4bQULNyGOGf3u0padCRgoWn6lK6iawDtIczqg2IRreWEra97&#10;T4S87CFeqoAHk0E/193FI9/m6Xw9W8/yQT6arAd5WteD1abKB5NNNh3XT3VV1dn30FqWF61gjKvQ&#10;3c2vWf53fri+nIvT7o6985A8okfCoNnbNzYdpQ1qXnyx0+y8tYHboDJYNAZfn1N4A7+eY9TPR7/8&#10;AQAA//8DAFBLAwQUAAYACAAAACEAUdAYcNsAAAAHAQAADwAAAGRycy9kb3ducmV2LnhtbEyPQU+D&#10;QBCF7yb+h82YeLOLhCgiS2NMjBcPbfHgccqOgGVnCbu06K93jAc9vvcm731Trhc3qCNNofds4HqV&#10;gCJuvO25NfBaP13loEJEtjh4JgOfFGBdnZ+VWFh/4i0dd7FVUsKhQANdjGOhdWg6chhWfiSW7N1P&#10;DqPIqdV2wpOUu0GnSXKjHfYsCx2O9NhRc9jNzgB5nl8+DtnX5javN3f1s33bJtGYy4vl4R5UpCX+&#10;HcMPvqBDJUx7P7MNajCQyidR7DQDJXGeZymo/a+hq1L/56++AQAA//8DAFBLAQItABQABgAIAAAA&#10;IQC2gziS/gAAAOEBAAATAAAAAAAAAAAAAAAAAAAAAABbQ29udGVudF9UeXBlc10ueG1sUEsBAi0A&#10;FAAGAAgAAAAhADj9If/WAAAAlAEAAAsAAAAAAAAAAAAAAAAALwEAAF9yZWxzLy5yZWxzUEsBAi0A&#10;FAAGAAgAAAAhAH2SUs8hAgAAPAQAAA4AAAAAAAAAAAAAAAAALgIAAGRycy9lMm9Eb2MueG1sUEsB&#10;Ai0AFAAGAAgAAAAhAFHQGHDbAAAABwEAAA8AAAAAAAAAAAAAAAAAewQAAGRycy9kb3ducmV2Lnht&#10;bFBLBQYAAAAABAAEAPMAAACDBQAAAAA=&#10;" strokecolor="#7030a0" strokeweight="2pt"/>
          </w:pict>
        </mc:Fallback>
      </mc:AlternateContent>
    </w:r>
  </w:p>
  <w:p w:rsidR="00820538" w:rsidRDefault="00820538" w:rsidP="0079039F">
    <w:pPr>
      <w:pStyle w:val="Header"/>
    </w:pPr>
    <w:r w:rsidRPr="0079039F">
      <w:rPr>
        <w:lang w:val="id-ID"/>
      </w:rPr>
      <w:t>Received: dd/mm/yyyy;</w:t>
    </w:r>
    <w:r>
      <w:rPr>
        <w:lang w:val="id-ID"/>
      </w:rPr>
      <w:tab/>
    </w:r>
    <w:r w:rsidRPr="0079039F">
      <w:rPr>
        <w:lang w:val="id-ID"/>
      </w:rPr>
      <w:t>Revised: dd/mm/yyyy;</w:t>
    </w:r>
    <w:r w:rsidRPr="0079039F">
      <w:rPr>
        <w:lang w:val="id-ID"/>
      </w:rPr>
      <w:tab/>
      <w:t>Accepted: dd/mm/yyyy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3B6C"/>
    <w:multiLevelType w:val="hybridMultilevel"/>
    <w:tmpl w:val="54A017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8F5F0D"/>
    <w:multiLevelType w:val="hybridMultilevel"/>
    <w:tmpl w:val="599079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296290"/>
    <w:multiLevelType w:val="multilevel"/>
    <w:tmpl w:val="0E6A6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A9153F4"/>
    <w:multiLevelType w:val="hybridMultilevel"/>
    <w:tmpl w:val="599079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C84C96"/>
    <w:multiLevelType w:val="hybridMultilevel"/>
    <w:tmpl w:val="9E8494FA"/>
    <w:lvl w:ilvl="0" w:tplc="8B88897E">
      <w:start w:val="1"/>
      <w:numFmt w:val="decimal"/>
      <w:lvlText w:val="[%1]   "/>
      <w:lvlJc w:val="left"/>
      <w:pPr>
        <w:ind w:left="360" w:hanging="360"/>
      </w:pPr>
      <w:rPr>
        <w:rFonts w:hint="default"/>
      </w:rPr>
    </w:lvl>
    <w:lvl w:ilvl="1" w:tplc="4A5E473C" w:tentative="1">
      <w:start w:val="1"/>
      <w:numFmt w:val="lowerLetter"/>
      <w:lvlText w:val="%2."/>
      <w:lvlJc w:val="left"/>
      <w:pPr>
        <w:ind w:left="1080" w:hanging="360"/>
      </w:pPr>
    </w:lvl>
    <w:lvl w:ilvl="2" w:tplc="36A007DC" w:tentative="1">
      <w:start w:val="1"/>
      <w:numFmt w:val="lowerRoman"/>
      <w:lvlText w:val="%3."/>
      <w:lvlJc w:val="right"/>
      <w:pPr>
        <w:ind w:left="1800" w:hanging="180"/>
      </w:pPr>
    </w:lvl>
    <w:lvl w:ilvl="3" w:tplc="BC3A6C94" w:tentative="1">
      <w:start w:val="1"/>
      <w:numFmt w:val="decimal"/>
      <w:lvlText w:val="%4."/>
      <w:lvlJc w:val="left"/>
      <w:pPr>
        <w:ind w:left="2520" w:hanging="360"/>
      </w:pPr>
    </w:lvl>
    <w:lvl w:ilvl="4" w:tplc="D2C0B75A" w:tentative="1">
      <w:start w:val="1"/>
      <w:numFmt w:val="lowerLetter"/>
      <w:lvlText w:val="%5."/>
      <w:lvlJc w:val="left"/>
      <w:pPr>
        <w:ind w:left="3240" w:hanging="360"/>
      </w:pPr>
    </w:lvl>
    <w:lvl w:ilvl="5" w:tplc="995AAC2A" w:tentative="1">
      <w:start w:val="1"/>
      <w:numFmt w:val="lowerRoman"/>
      <w:lvlText w:val="%6."/>
      <w:lvlJc w:val="right"/>
      <w:pPr>
        <w:ind w:left="3960" w:hanging="180"/>
      </w:pPr>
    </w:lvl>
    <w:lvl w:ilvl="6" w:tplc="50042D8A" w:tentative="1">
      <w:start w:val="1"/>
      <w:numFmt w:val="decimal"/>
      <w:lvlText w:val="%7."/>
      <w:lvlJc w:val="left"/>
      <w:pPr>
        <w:ind w:left="4680" w:hanging="360"/>
      </w:pPr>
    </w:lvl>
    <w:lvl w:ilvl="7" w:tplc="8FF05938" w:tentative="1">
      <w:start w:val="1"/>
      <w:numFmt w:val="lowerLetter"/>
      <w:lvlText w:val="%8."/>
      <w:lvlJc w:val="left"/>
      <w:pPr>
        <w:ind w:left="5400" w:hanging="360"/>
      </w:pPr>
    </w:lvl>
    <w:lvl w:ilvl="8" w:tplc="3800A368" w:tentative="1">
      <w:start w:val="1"/>
      <w:numFmt w:val="lowerRoman"/>
      <w:lvlText w:val="%9."/>
      <w:lvlJc w:val="right"/>
      <w:pPr>
        <w:ind w:left="6120" w:hanging="180"/>
      </w:pPr>
    </w:lvl>
  </w:abstractNum>
  <w:abstractNum w:abstractNumId="5">
    <w:nsid w:val="7C4006CD"/>
    <w:multiLevelType w:val="multilevel"/>
    <w:tmpl w:val="3376BC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drawingGridHorizontalSpacing w:val="10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10"/>
    <w:rsid w:val="00000750"/>
    <w:rsid w:val="00000A54"/>
    <w:rsid w:val="00000CD1"/>
    <w:rsid w:val="00000D57"/>
    <w:rsid w:val="00000E5F"/>
    <w:rsid w:val="00000FEF"/>
    <w:rsid w:val="000010F4"/>
    <w:rsid w:val="00002CD2"/>
    <w:rsid w:val="00002D35"/>
    <w:rsid w:val="0000502E"/>
    <w:rsid w:val="000051AE"/>
    <w:rsid w:val="00005A0F"/>
    <w:rsid w:val="00005CB4"/>
    <w:rsid w:val="00005E84"/>
    <w:rsid w:val="00005ED8"/>
    <w:rsid w:val="00006194"/>
    <w:rsid w:val="00006637"/>
    <w:rsid w:val="000069A5"/>
    <w:rsid w:val="000069AD"/>
    <w:rsid w:val="00006EAF"/>
    <w:rsid w:val="0000712A"/>
    <w:rsid w:val="000074B7"/>
    <w:rsid w:val="00007D24"/>
    <w:rsid w:val="000105A2"/>
    <w:rsid w:val="0001095C"/>
    <w:rsid w:val="00010D0C"/>
    <w:rsid w:val="00010F2F"/>
    <w:rsid w:val="00011315"/>
    <w:rsid w:val="00011B5C"/>
    <w:rsid w:val="00011BDC"/>
    <w:rsid w:val="00011D15"/>
    <w:rsid w:val="000124BD"/>
    <w:rsid w:val="00012EB0"/>
    <w:rsid w:val="00012FB2"/>
    <w:rsid w:val="000132D1"/>
    <w:rsid w:val="00013663"/>
    <w:rsid w:val="000140BD"/>
    <w:rsid w:val="000143B5"/>
    <w:rsid w:val="0001469A"/>
    <w:rsid w:val="00014C7A"/>
    <w:rsid w:val="00014EF9"/>
    <w:rsid w:val="000151ED"/>
    <w:rsid w:val="000152C7"/>
    <w:rsid w:val="00015AD1"/>
    <w:rsid w:val="0002051C"/>
    <w:rsid w:val="00020851"/>
    <w:rsid w:val="00020895"/>
    <w:rsid w:val="00020ABC"/>
    <w:rsid w:val="00020C92"/>
    <w:rsid w:val="00022531"/>
    <w:rsid w:val="00022565"/>
    <w:rsid w:val="0002298E"/>
    <w:rsid w:val="00023A05"/>
    <w:rsid w:val="0002417A"/>
    <w:rsid w:val="00024252"/>
    <w:rsid w:val="000255B4"/>
    <w:rsid w:val="00026182"/>
    <w:rsid w:val="00026309"/>
    <w:rsid w:val="0002678A"/>
    <w:rsid w:val="000267F5"/>
    <w:rsid w:val="00026858"/>
    <w:rsid w:val="000268B3"/>
    <w:rsid w:val="00026B3E"/>
    <w:rsid w:val="00026FB1"/>
    <w:rsid w:val="000279FC"/>
    <w:rsid w:val="00030CCD"/>
    <w:rsid w:val="00030D26"/>
    <w:rsid w:val="00031277"/>
    <w:rsid w:val="00031964"/>
    <w:rsid w:val="00031A3B"/>
    <w:rsid w:val="00031F3F"/>
    <w:rsid w:val="00032EF9"/>
    <w:rsid w:val="000331C0"/>
    <w:rsid w:val="00033220"/>
    <w:rsid w:val="000337E9"/>
    <w:rsid w:val="00034046"/>
    <w:rsid w:val="000345AF"/>
    <w:rsid w:val="00034C88"/>
    <w:rsid w:val="00035558"/>
    <w:rsid w:val="00035A45"/>
    <w:rsid w:val="00035BF7"/>
    <w:rsid w:val="00035BFF"/>
    <w:rsid w:val="00036687"/>
    <w:rsid w:val="000366E8"/>
    <w:rsid w:val="0003727E"/>
    <w:rsid w:val="00037C3A"/>
    <w:rsid w:val="00037CC1"/>
    <w:rsid w:val="00040C34"/>
    <w:rsid w:val="00041F2A"/>
    <w:rsid w:val="00043BC4"/>
    <w:rsid w:val="00043F88"/>
    <w:rsid w:val="000442B3"/>
    <w:rsid w:val="00044524"/>
    <w:rsid w:val="000454E6"/>
    <w:rsid w:val="00045612"/>
    <w:rsid w:val="00045D89"/>
    <w:rsid w:val="000468F2"/>
    <w:rsid w:val="0004765E"/>
    <w:rsid w:val="00047D83"/>
    <w:rsid w:val="00047DC5"/>
    <w:rsid w:val="00047DEA"/>
    <w:rsid w:val="000506B2"/>
    <w:rsid w:val="00050E63"/>
    <w:rsid w:val="00052608"/>
    <w:rsid w:val="000526A9"/>
    <w:rsid w:val="0005275D"/>
    <w:rsid w:val="000529E1"/>
    <w:rsid w:val="00052FEF"/>
    <w:rsid w:val="000530D8"/>
    <w:rsid w:val="0005360E"/>
    <w:rsid w:val="0005393D"/>
    <w:rsid w:val="00053B93"/>
    <w:rsid w:val="00053E8B"/>
    <w:rsid w:val="00053EA0"/>
    <w:rsid w:val="0005406A"/>
    <w:rsid w:val="00055A89"/>
    <w:rsid w:val="00056010"/>
    <w:rsid w:val="000562BB"/>
    <w:rsid w:val="00057CBE"/>
    <w:rsid w:val="000605DE"/>
    <w:rsid w:val="00060F07"/>
    <w:rsid w:val="00061B8A"/>
    <w:rsid w:val="000621BF"/>
    <w:rsid w:val="0006306D"/>
    <w:rsid w:val="000635DF"/>
    <w:rsid w:val="000641D9"/>
    <w:rsid w:val="00064C84"/>
    <w:rsid w:val="00064C9E"/>
    <w:rsid w:val="000651F7"/>
    <w:rsid w:val="00065625"/>
    <w:rsid w:val="000661EA"/>
    <w:rsid w:val="0006647D"/>
    <w:rsid w:val="00067E69"/>
    <w:rsid w:val="00070D7A"/>
    <w:rsid w:val="000712AE"/>
    <w:rsid w:val="000718DE"/>
    <w:rsid w:val="0007209F"/>
    <w:rsid w:val="0007319A"/>
    <w:rsid w:val="0007407D"/>
    <w:rsid w:val="0007489D"/>
    <w:rsid w:val="00074B93"/>
    <w:rsid w:val="00074DAB"/>
    <w:rsid w:val="0007547F"/>
    <w:rsid w:val="00075FA8"/>
    <w:rsid w:val="00076158"/>
    <w:rsid w:val="000764CD"/>
    <w:rsid w:val="000765C1"/>
    <w:rsid w:val="000801B6"/>
    <w:rsid w:val="0008051F"/>
    <w:rsid w:val="00080A97"/>
    <w:rsid w:val="00080EAB"/>
    <w:rsid w:val="0008160C"/>
    <w:rsid w:val="00082C05"/>
    <w:rsid w:val="00082E2C"/>
    <w:rsid w:val="0008360E"/>
    <w:rsid w:val="00083898"/>
    <w:rsid w:val="00084ECD"/>
    <w:rsid w:val="00084F55"/>
    <w:rsid w:val="0008540E"/>
    <w:rsid w:val="00085814"/>
    <w:rsid w:val="00085E78"/>
    <w:rsid w:val="00086058"/>
    <w:rsid w:val="000862F2"/>
    <w:rsid w:val="00086790"/>
    <w:rsid w:val="000867D0"/>
    <w:rsid w:val="00086905"/>
    <w:rsid w:val="00086DDE"/>
    <w:rsid w:val="00086DFC"/>
    <w:rsid w:val="00087001"/>
    <w:rsid w:val="00087C48"/>
    <w:rsid w:val="00087EDA"/>
    <w:rsid w:val="00091120"/>
    <w:rsid w:val="00091CB0"/>
    <w:rsid w:val="00093125"/>
    <w:rsid w:val="00093223"/>
    <w:rsid w:val="00093874"/>
    <w:rsid w:val="00093C4A"/>
    <w:rsid w:val="00093C8C"/>
    <w:rsid w:val="00094333"/>
    <w:rsid w:val="00094E4A"/>
    <w:rsid w:val="00094E5F"/>
    <w:rsid w:val="00094E99"/>
    <w:rsid w:val="0009566C"/>
    <w:rsid w:val="00095D0F"/>
    <w:rsid w:val="00096289"/>
    <w:rsid w:val="0009724D"/>
    <w:rsid w:val="00097D38"/>
    <w:rsid w:val="00097D3B"/>
    <w:rsid w:val="000A02FE"/>
    <w:rsid w:val="000A043B"/>
    <w:rsid w:val="000A1111"/>
    <w:rsid w:val="000A1B11"/>
    <w:rsid w:val="000A248B"/>
    <w:rsid w:val="000A2FFC"/>
    <w:rsid w:val="000A34A9"/>
    <w:rsid w:val="000A34BE"/>
    <w:rsid w:val="000A4109"/>
    <w:rsid w:val="000A5466"/>
    <w:rsid w:val="000A580F"/>
    <w:rsid w:val="000A6087"/>
    <w:rsid w:val="000A67B2"/>
    <w:rsid w:val="000A6DDD"/>
    <w:rsid w:val="000A7912"/>
    <w:rsid w:val="000A7FAA"/>
    <w:rsid w:val="000B0134"/>
    <w:rsid w:val="000B2853"/>
    <w:rsid w:val="000B325C"/>
    <w:rsid w:val="000B3BF2"/>
    <w:rsid w:val="000B3ED9"/>
    <w:rsid w:val="000B422A"/>
    <w:rsid w:val="000B4B8B"/>
    <w:rsid w:val="000B4FB0"/>
    <w:rsid w:val="000B52AA"/>
    <w:rsid w:val="000B5CD1"/>
    <w:rsid w:val="000B659D"/>
    <w:rsid w:val="000B7CB5"/>
    <w:rsid w:val="000C005D"/>
    <w:rsid w:val="000C0FD2"/>
    <w:rsid w:val="000C31F9"/>
    <w:rsid w:val="000C3292"/>
    <w:rsid w:val="000C3679"/>
    <w:rsid w:val="000C45DF"/>
    <w:rsid w:val="000C45F7"/>
    <w:rsid w:val="000C5027"/>
    <w:rsid w:val="000C5AC2"/>
    <w:rsid w:val="000C722F"/>
    <w:rsid w:val="000C74AE"/>
    <w:rsid w:val="000C77E6"/>
    <w:rsid w:val="000C7E43"/>
    <w:rsid w:val="000C7F78"/>
    <w:rsid w:val="000C7F7C"/>
    <w:rsid w:val="000D09B6"/>
    <w:rsid w:val="000D0CF8"/>
    <w:rsid w:val="000D1457"/>
    <w:rsid w:val="000D18B2"/>
    <w:rsid w:val="000D1C62"/>
    <w:rsid w:val="000D235A"/>
    <w:rsid w:val="000D276F"/>
    <w:rsid w:val="000D3E5A"/>
    <w:rsid w:val="000D438B"/>
    <w:rsid w:val="000D4AE5"/>
    <w:rsid w:val="000D516E"/>
    <w:rsid w:val="000D5187"/>
    <w:rsid w:val="000D5231"/>
    <w:rsid w:val="000D57ED"/>
    <w:rsid w:val="000D6315"/>
    <w:rsid w:val="000D702D"/>
    <w:rsid w:val="000E03C2"/>
    <w:rsid w:val="000E0BFA"/>
    <w:rsid w:val="000E127C"/>
    <w:rsid w:val="000E1A04"/>
    <w:rsid w:val="000E1D18"/>
    <w:rsid w:val="000E207C"/>
    <w:rsid w:val="000E279E"/>
    <w:rsid w:val="000E2942"/>
    <w:rsid w:val="000E3BC0"/>
    <w:rsid w:val="000E41B1"/>
    <w:rsid w:val="000E48A4"/>
    <w:rsid w:val="000E4BB7"/>
    <w:rsid w:val="000E54D0"/>
    <w:rsid w:val="000E5ADA"/>
    <w:rsid w:val="000E63F6"/>
    <w:rsid w:val="000E7355"/>
    <w:rsid w:val="000E7CF8"/>
    <w:rsid w:val="000E7DDE"/>
    <w:rsid w:val="000F045B"/>
    <w:rsid w:val="000F0573"/>
    <w:rsid w:val="000F10C4"/>
    <w:rsid w:val="000F1D76"/>
    <w:rsid w:val="000F2C7F"/>
    <w:rsid w:val="000F302C"/>
    <w:rsid w:val="000F31A6"/>
    <w:rsid w:val="000F33E0"/>
    <w:rsid w:val="000F36A4"/>
    <w:rsid w:val="000F3767"/>
    <w:rsid w:val="000F4B13"/>
    <w:rsid w:val="000F4C8F"/>
    <w:rsid w:val="000F4ED2"/>
    <w:rsid w:val="000F67DB"/>
    <w:rsid w:val="000F7022"/>
    <w:rsid w:val="000F730E"/>
    <w:rsid w:val="000F7598"/>
    <w:rsid w:val="00100411"/>
    <w:rsid w:val="001004FB"/>
    <w:rsid w:val="001007ED"/>
    <w:rsid w:val="00100C33"/>
    <w:rsid w:val="00101016"/>
    <w:rsid w:val="00101CBB"/>
    <w:rsid w:val="00101F39"/>
    <w:rsid w:val="00101F8E"/>
    <w:rsid w:val="001025AD"/>
    <w:rsid w:val="00103607"/>
    <w:rsid w:val="001039B0"/>
    <w:rsid w:val="001042AE"/>
    <w:rsid w:val="001045AD"/>
    <w:rsid w:val="00104796"/>
    <w:rsid w:val="00104D55"/>
    <w:rsid w:val="00105062"/>
    <w:rsid w:val="0010752F"/>
    <w:rsid w:val="001075D2"/>
    <w:rsid w:val="001104BE"/>
    <w:rsid w:val="00110661"/>
    <w:rsid w:val="0011073C"/>
    <w:rsid w:val="0011097E"/>
    <w:rsid w:val="001117A1"/>
    <w:rsid w:val="00112DEB"/>
    <w:rsid w:val="00112EDD"/>
    <w:rsid w:val="00114556"/>
    <w:rsid w:val="0011468C"/>
    <w:rsid w:val="001149D4"/>
    <w:rsid w:val="00115043"/>
    <w:rsid w:val="00115E6E"/>
    <w:rsid w:val="001160F7"/>
    <w:rsid w:val="0011647B"/>
    <w:rsid w:val="00116962"/>
    <w:rsid w:val="00116D08"/>
    <w:rsid w:val="00116F76"/>
    <w:rsid w:val="00117600"/>
    <w:rsid w:val="00117E38"/>
    <w:rsid w:val="00120D9B"/>
    <w:rsid w:val="001214D8"/>
    <w:rsid w:val="00121622"/>
    <w:rsid w:val="001216B2"/>
    <w:rsid w:val="00121954"/>
    <w:rsid w:val="001223F1"/>
    <w:rsid w:val="00122475"/>
    <w:rsid w:val="00123276"/>
    <w:rsid w:val="001240FF"/>
    <w:rsid w:val="00124AC1"/>
    <w:rsid w:val="00124CE8"/>
    <w:rsid w:val="00125032"/>
    <w:rsid w:val="00125655"/>
    <w:rsid w:val="001261F0"/>
    <w:rsid w:val="0012650F"/>
    <w:rsid w:val="00126810"/>
    <w:rsid w:val="00126C86"/>
    <w:rsid w:val="00127E9A"/>
    <w:rsid w:val="00127EA2"/>
    <w:rsid w:val="001306C5"/>
    <w:rsid w:val="00130BF0"/>
    <w:rsid w:val="00130DB8"/>
    <w:rsid w:val="00130E47"/>
    <w:rsid w:val="0013221F"/>
    <w:rsid w:val="00133092"/>
    <w:rsid w:val="001330A9"/>
    <w:rsid w:val="00133C18"/>
    <w:rsid w:val="00133C81"/>
    <w:rsid w:val="00134453"/>
    <w:rsid w:val="00134C23"/>
    <w:rsid w:val="0013714C"/>
    <w:rsid w:val="00137341"/>
    <w:rsid w:val="00137D35"/>
    <w:rsid w:val="0014031A"/>
    <w:rsid w:val="001404A9"/>
    <w:rsid w:val="00140B49"/>
    <w:rsid w:val="001414CE"/>
    <w:rsid w:val="00141E41"/>
    <w:rsid w:val="00141E84"/>
    <w:rsid w:val="0014201F"/>
    <w:rsid w:val="00142A63"/>
    <w:rsid w:val="00144A69"/>
    <w:rsid w:val="0014565A"/>
    <w:rsid w:val="00145AE5"/>
    <w:rsid w:val="00145BBD"/>
    <w:rsid w:val="00145CF7"/>
    <w:rsid w:val="001461B2"/>
    <w:rsid w:val="0014638B"/>
    <w:rsid w:val="001469AA"/>
    <w:rsid w:val="001469FF"/>
    <w:rsid w:val="00146D82"/>
    <w:rsid w:val="00147489"/>
    <w:rsid w:val="001516EE"/>
    <w:rsid w:val="00151C6D"/>
    <w:rsid w:val="00151D75"/>
    <w:rsid w:val="00151F59"/>
    <w:rsid w:val="00152199"/>
    <w:rsid w:val="001529D2"/>
    <w:rsid w:val="0015349D"/>
    <w:rsid w:val="00153B4C"/>
    <w:rsid w:val="00154AC7"/>
    <w:rsid w:val="00155566"/>
    <w:rsid w:val="00155D3D"/>
    <w:rsid w:val="0015647E"/>
    <w:rsid w:val="0015683B"/>
    <w:rsid w:val="001572F2"/>
    <w:rsid w:val="00157410"/>
    <w:rsid w:val="00157777"/>
    <w:rsid w:val="00157932"/>
    <w:rsid w:val="00160CC6"/>
    <w:rsid w:val="00161790"/>
    <w:rsid w:val="001617A3"/>
    <w:rsid w:val="00161C8E"/>
    <w:rsid w:val="00161EA1"/>
    <w:rsid w:val="001624AF"/>
    <w:rsid w:val="00162D64"/>
    <w:rsid w:val="00163731"/>
    <w:rsid w:val="0016427D"/>
    <w:rsid w:val="00164296"/>
    <w:rsid w:val="001642DD"/>
    <w:rsid w:val="0016467B"/>
    <w:rsid w:val="00164E42"/>
    <w:rsid w:val="0016593F"/>
    <w:rsid w:val="001660DF"/>
    <w:rsid w:val="0016633C"/>
    <w:rsid w:val="00166371"/>
    <w:rsid w:val="0016657C"/>
    <w:rsid w:val="001667B9"/>
    <w:rsid w:val="0016782C"/>
    <w:rsid w:val="0017020D"/>
    <w:rsid w:val="00170E1F"/>
    <w:rsid w:val="00171267"/>
    <w:rsid w:val="00171F3A"/>
    <w:rsid w:val="001721F3"/>
    <w:rsid w:val="00172BE6"/>
    <w:rsid w:val="00172C89"/>
    <w:rsid w:val="00173097"/>
    <w:rsid w:val="0017393D"/>
    <w:rsid w:val="00173B0E"/>
    <w:rsid w:val="00173CF0"/>
    <w:rsid w:val="00174159"/>
    <w:rsid w:val="00174261"/>
    <w:rsid w:val="00174587"/>
    <w:rsid w:val="00174BD9"/>
    <w:rsid w:val="001754DC"/>
    <w:rsid w:val="001758D3"/>
    <w:rsid w:val="001759F9"/>
    <w:rsid w:val="00176017"/>
    <w:rsid w:val="0017683A"/>
    <w:rsid w:val="00176D44"/>
    <w:rsid w:val="00177D4F"/>
    <w:rsid w:val="00180601"/>
    <w:rsid w:val="0018122D"/>
    <w:rsid w:val="0018136C"/>
    <w:rsid w:val="0018163C"/>
    <w:rsid w:val="001823D8"/>
    <w:rsid w:val="0018379C"/>
    <w:rsid w:val="001840D2"/>
    <w:rsid w:val="001846BE"/>
    <w:rsid w:val="00184C0B"/>
    <w:rsid w:val="001857A5"/>
    <w:rsid w:val="00185DE0"/>
    <w:rsid w:val="00185E40"/>
    <w:rsid w:val="001864E0"/>
    <w:rsid w:val="00186F09"/>
    <w:rsid w:val="0018702A"/>
    <w:rsid w:val="00187440"/>
    <w:rsid w:val="00187463"/>
    <w:rsid w:val="00190011"/>
    <w:rsid w:val="00190153"/>
    <w:rsid w:val="00190293"/>
    <w:rsid w:val="00191636"/>
    <w:rsid w:val="001917E8"/>
    <w:rsid w:val="00191A70"/>
    <w:rsid w:val="00192134"/>
    <w:rsid w:val="00192B2A"/>
    <w:rsid w:val="00193CB6"/>
    <w:rsid w:val="00193EE2"/>
    <w:rsid w:val="00194386"/>
    <w:rsid w:val="001947A7"/>
    <w:rsid w:val="00194D4D"/>
    <w:rsid w:val="00195167"/>
    <w:rsid w:val="00195571"/>
    <w:rsid w:val="00195902"/>
    <w:rsid w:val="0019622B"/>
    <w:rsid w:val="00196B77"/>
    <w:rsid w:val="00196D56"/>
    <w:rsid w:val="00196E4B"/>
    <w:rsid w:val="001973B1"/>
    <w:rsid w:val="001A079E"/>
    <w:rsid w:val="001A0B98"/>
    <w:rsid w:val="001A3325"/>
    <w:rsid w:val="001A339F"/>
    <w:rsid w:val="001A40F4"/>
    <w:rsid w:val="001A4F47"/>
    <w:rsid w:val="001A5555"/>
    <w:rsid w:val="001A5814"/>
    <w:rsid w:val="001A5C62"/>
    <w:rsid w:val="001A72F8"/>
    <w:rsid w:val="001A73EC"/>
    <w:rsid w:val="001A77C1"/>
    <w:rsid w:val="001A781E"/>
    <w:rsid w:val="001B03CD"/>
    <w:rsid w:val="001B09E2"/>
    <w:rsid w:val="001B11B5"/>
    <w:rsid w:val="001B173E"/>
    <w:rsid w:val="001B1EE7"/>
    <w:rsid w:val="001B2145"/>
    <w:rsid w:val="001B2F7E"/>
    <w:rsid w:val="001B3056"/>
    <w:rsid w:val="001B3E2B"/>
    <w:rsid w:val="001B4376"/>
    <w:rsid w:val="001B449C"/>
    <w:rsid w:val="001B4EDB"/>
    <w:rsid w:val="001B644A"/>
    <w:rsid w:val="001B680C"/>
    <w:rsid w:val="001B6AC4"/>
    <w:rsid w:val="001B6DF5"/>
    <w:rsid w:val="001B75F9"/>
    <w:rsid w:val="001B77B2"/>
    <w:rsid w:val="001B7A2F"/>
    <w:rsid w:val="001B7CF8"/>
    <w:rsid w:val="001B7D14"/>
    <w:rsid w:val="001C008A"/>
    <w:rsid w:val="001C08F4"/>
    <w:rsid w:val="001C0AA9"/>
    <w:rsid w:val="001C1AB3"/>
    <w:rsid w:val="001C1B36"/>
    <w:rsid w:val="001C21B8"/>
    <w:rsid w:val="001C277A"/>
    <w:rsid w:val="001C3F45"/>
    <w:rsid w:val="001C4684"/>
    <w:rsid w:val="001C51C7"/>
    <w:rsid w:val="001C5279"/>
    <w:rsid w:val="001C5DDF"/>
    <w:rsid w:val="001C63DE"/>
    <w:rsid w:val="001C65FA"/>
    <w:rsid w:val="001C7532"/>
    <w:rsid w:val="001C7FCA"/>
    <w:rsid w:val="001D0025"/>
    <w:rsid w:val="001D05B8"/>
    <w:rsid w:val="001D07F8"/>
    <w:rsid w:val="001D1796"/>
    <w:rsid w:val="001D2630"/>
    <w:rsid w:val="001D29D0"/>
    <w:rsid w:val="001D2D3A"/>
    <w:rsid w:val="001D322B"/>
    <w:rsid w:val="001D3F7A"/>
    <w:rsid w:val="001D4CDD"/>
    <w:rsid w:val="001D4D3C"/>
    <w:rsid w:val="001D5E89"/>
    <w:rsid w:val="001D7146"/>
    <w:rsid w:val="001D71AA"/>
    <w:rsid w:val="001D7B13"/>
    <w:rsid w:val="001E02D0"/>
    <w:rsid w:val="001E056B"/>
    <w:rsid w:val="001E07B5"/>
    <w:rsid w:val="001E1582"/>
    <w:rsid w:val="001E237E"/>
    <w:rsid w:val="001E333C"/>
    <w:rsid w:val="001E3481"/>
    <w:rsid w:val="001E3897"/>
    <w:rsid w:val="001E43DC"/>
    <w:rsid w:val="001E4AB1"/>
    <w:rsid w:val="001E5C31"/>
    <w:rsid w:val="001E665A"/>
    <w:rsid w:val="001E69DE"/>
    <w:rsid w:val="001F0B1C"/>
    <w:rsid w:val="001F1979"/>
    <w:rsid w:val="001F213F"/>
    <w:rsid w:val="001F271E"/>
    <w:rsid w:val="001F2E8F"/>
    <w:rsid w:val="001F40AB"/>
    <w:rsid w:val="001F419D"/>
    <w:rsid w:val="001F449B"/>
    <w:rsid w:val="001F4E1D"/>
    <w:rsid w:val="001F4E44"/>
    <w:rsid w:val="001F5134"/>
    <w:rsid w:val="001F5DDF"/>
    <w:rsid w:val="001F6339"/>
    <w:rsid w:val="001F7A06"/>
    <w:rsid w:val="001F7A96"/>
    <w:rsid w:val="0020052C"/>
    <w:rsid w:val="00200756"/>
    <w:rsid w:val="00200C8E"/>
    <w:rsid w:val="0020265F"/>
    <w:rsid w:val="002029ED"/>
    <w:rsid w:val="0020349A"/>
    <w:rsid w:val="0020364A"/>
    <w:rsid w:val="00204872"/>
    <w:rsid w:val="002063F3"/>
    <w:rsid w:val="00206E6B"/>
    <w:rsid w:val="002070C3"/>
    <w:rsid w:val="002070F8"/>
    <w:rsid w:val="002078AC"/>
    <w:rsid w:val="00210453"/>
    <w:rsid w:val="00210C03"/>
    <w:rsid w:val="002114B5"/>
    <w:rsid w:val="00212CE0"/>
    <w:rsid w:val="0021311C"/>
    <w:rsid w:val="00213BA4"/>
    <w:rsid w:val="00214773"/>
    <w:rsid w:val="00214E80"/>
    <w:rsid w:val="00215108"/>
    <w:rsid w:val="00215725"/>
    <w:rsid w:val="00215CE7"/>
    <w:rsid w:val="00215D7E"/>
    <w:rsid w:val="00216174"/>
    <w:rsid w:val="0021651A"/>
    <w:rsid w:val="00216E6A"/>
    <w:rsid w:val="00217471"/>
    <w:rsid w:val="00217955"/>
    <w:rsid w:val="002206E5"/>
    <w:rsid w:val="00220714"/>
    <w:rsid w:val="002223AF"/>
    <w:rsid w:val="0022271D"/>
    <w:rsid w:val="00222C50"/>
    <w:rsid w:val="002230C7"/>
    <w:rsid w:val="002232CF"/>
    <w:rsid w:val="00223474"/>
    <w:rsid w:val="0022371B"/>
    <w:rsid w:val="00224286"/>
    <w:rsid w:val="00224A64"/>
    <w:rsid w:val="00224AF8"/>
    <w:rsid w:val="00224BA9"/>
    <w:rsid w:val="0022554B"/>
    <w:rsid w:val="00225A42"/>
    <w:rsid w:val="00225F06"/>
    <w:rsid w:val="00226CD4"/>
    <w:rsid w:val="00226F32"/>
    <w:rsid w:val="002273BF"/>
    <w:rsid w:val="002308CE"/>
    <w:rsid w:val="00231214"/>
    <w:rsid w:val="00232418"/>
    <w:rsid w:val="00233879"/>
    <w:rsid w:val="00234AE2"/>
    <w:rsid w:val="002351CC"/>
    <w:rsid w:val="00235CDC"/>
    <w:rsid w:val="0023627C"/>
    <w:rsid w:val="002369E6"/>
    <w:rsid w:val="00236AD5"/>
    <w:rsid w:val="002376A7"/>
    <w:rsid w:val="00240AB9"/>
    <w:rsid w:val="00240BEF"/>
    <w:rsid w:val="002412D2"/>
    <w:rsid w:val="00241B52"/>
    <w:rsid w:val="00241F3D"/>
    <w:rsid w:val="00242DC1"/>
    <w:rsid w:val="00243D15"/>
    <w:rsid w:val="00243DD1"/>
    <w:rsid w:val="00244D03"/>
    <w:rsid w:val="00245C0F"/>
    <w:rsid w:val="002466D6"/>
    <w:rsid w:val="00246AC0"/>
    <w:rsid w:val="0024778B"/>
    <w:rsid w:val="00247BD5"/>
    <w:rsid w:val="00247D8B"/>
    <w:rsid w:val="0025082F"/>
    <w:rsid w:val="00250A07"/>
    <w:rsid w:val="002525E6"/>
    <w:rsid w:val="0025260A"/>
    <w:rsid w:val="00252A7D"/>
    <w:rsid w:val="002531DB"/>
    <w:rsid w:val="00253640"/>
    <w:rsid w:val="00253F43"/>
    <w:rsid w:val="002544A7"/>
    <w:rsid w:val="00254906"/>
    <w:rsid w:val="00255967"/>
    <w:rsid w:val="00255B99"/>
    <w:rsid w:val="00255BB4"/>
    <w:rsid w:val="00255C3B"/>
    <w:rsid w:val="00256001"/>
    <w:rsid w:val="00256F5D"/>
    <w:rsid w:val="00257830"/>
    <w:rsid w:val="00260D2C"/>
    <w:rsid w:val="00260F20"/>
    <w:rsid w:val="002627FF"/>
    <w:rsid w:val="002634BB"/>
    <w:rsid w:val="00263928"/>
    <w:rsid w:val="00264227"/>
    <w:rsid w:val="002656A4"/>
    <w:rsid w:val="00266032"/>
    <w:rsid w:val="0026703A"/>
    <w:rsid w:val="002670FB"/>
    <w:rsid w:val="00267D4C"/>
    <w:rsid w:val="00267E41"/>
    <w:rsid w:val="0027006A"/>
    <w:rsid w:val="002726A0"/>
    <w:rsid w:val="00272C5D"/>
    <w:rsid w:val="00273104"/>
    <w:rsid w:val="0027371C"/>
    <w:rsid w:val="0027437D"/>
    <w:rsid w:val="00274A8C"/>
    <w:rsid w:val="002751D5"/>
    <w:rsid w:val="00275B0D"/>
    <w:rsid w:val="00276021"/>
    <w:rsid w:val="00276D2B"/>
    <w:rsid w:val="002775E0"/>
    <w:rsid w:val="002777BB"/>
    <w:rsid w:val="00277B68"/>
    <w:rsid w:val="002801B7"/>
    <w:rsid w:val="002808DB"/>
    <w:rsid w:val="002809CC"/>
    <w:rsid w:val="0028153A"/>
    <w:rsid w:val="00282A01"/>
    <w:rsid w:val="00282F73"/>
    <w:rsid w:val="0028333C"/>
    <w:rsid w:val="00283639"/>
    <w:rsid w:val="00283F17"/>
    <w:rsid w:val="00284966"/>
    <w:rsid w:val="002849C5"/>
    <w:rsid w:val="0028548E"/>
    <w:rsid w:val="002871A7"/>
    <w:rsid w:val="0028749C"/>
    <w:rsid w:val="00287F83"/>
    <w:rsid w:val="00290681"/>
    <w:rsid w:val="00290EEB"/>
    <w:rsid w:val="0029108A"/>
    <w:rsid w:val="00291776"/>
    <w:rsid w:val="00291EFD"/>
    <w:rsid w:val="002923C3"/>
    <w:rsid w:val="002925E1"/>
    <w:rsid w:val="00292BF8"/>
    <w:rsid w:val="00293587"/>
    <w:rsid w:val="0029401A"/>
    <w:rsid w:val="00295A55"/>
    <w:rsid w:val="00296799"/>
    <w:rsid w:val="002A0E25"/>
    <w:rsid w:val="002A1A54"/>
    <w:rsid w:val="002A2128"/>
    <w:rsid w:val="002A2BD3"/>
    <w:rsid w:val="002A34B5"/>
    <w:rsid w:val="002A41D9"/>
    <w:rsid w:val="002A424F"/>
    <w:rsid w:val="002A48A5"/>
    <w:rsid w:val="002A56C2"/>
    <w:rsid w:val="002A5B9D"/>
    <w:rsid w:val="002A5F52"/>
    <w:rsid w:val="002A6A1F"/>
    <w:rsid w:val="002A6D8C"/>
    <w:rsid w:val="002A70C6"/>
    <w:rsid w:val="002A7C73"/>
    <w:rsid w:val="002A7F2A"/>
    <w:rsid w:val="002B00B7"/>
    <w:rsid w:val="002B06D0"/>
    <w:rsid w:val="002B0CBE"/>
    <w:rsid w:val="002B184E"/>
    <w:rsid w:val="002B1D37"/>
    <w:rsid w:val="002B2839"/>
    <w:rsid w:val="002B29B3"/>
    <w:rsid w:val="002B2C86"/>
    <w:rsid w:val="002B396D"/>
    <w:rsid w:val="002B3BCF"/>
    <w:rsid w:val="002B4541"/>
    <w:rsid w:val="002B4F5F"/>
    <w:rsid w:val="002B5641"/>
    <w:rsid w:val="002B60D4"/>
    <w:rsid w:val="002B627E"/>
    <w:rsid w:val="002B67F0"/>
    <w:rsid w:val="002B69A4"/>
    <w:rsid w:val="002B6A47"/>
    <w:rsid w:val="002B7970"/>
    <w:rsid w:val="002B7DDA"/>
    <w:rsid w:val="002B7E63"/>
    <w:rsid w:val="002C0DE7"/>
    <w:rsid w:val="002C16C1"/>
    <w:rsid w:val="002C177B"/>
    <w:rsid w:val="002C202C"/>
    <w:rsid w:val="002C2821"/>
    <w:rsid w:val="002C3DA7"/>
    <w:rsid w:val="002C450B"/>
    <w:rsid w:val="002C514C"/>
    <w:rsid w:val="002C6535"/>
    <w:rsid w:val="002C66AF"/>
    <w:rsid w:val="002C6ED3"/>
    <w:rsid w:val="002D0253"/>
    <w:rsid w:val="002D149D"/>
    <w:rsid w:val="002D14B1"/>
    <w:rsid w:val="002D1AEA"/>
    <w:rsid w:val="002D2F15"/>
    <w:rsid w:val="002D41A6"/>
    <w:rsid w:val="002D44D4"/>
    <w:rsid w:val="002D46FD"/>
    <w:rsid w:val="002D5520"/>
    <w:rsid w:val="002D5AFF"/>
    <w:rsid w:val="002D651B"/>
    <w:rsid w:val="002D6539"/>
    <w:rsid w:val="002D6B7D"/>
    <w:rsid w:val="002D753B"/>
    <w:rsid w:val="002D7BD1"/>
    <w:rsid w:val="002E00C2"/>
    <w:rsid w:val="002E0667"/>
    <w:rsid w:val="002E0B5F"/>
    <w:rsid w:val="002E187E"/>
    <w:rsid w:val="002E189C"/>
    <w:rsid w:val="002E248B"/>
    <w:rsid w:val="002E2664"/>
    <w:rsid w:val="002E2DD2"/>
    <w:rsid w:val="002E34C4"/>
    <w:rsid w:val="002E3CB8"/>
    <w:rsid w:val="002E474E"/>
    <w:rsid w:val="002E4C37"/>
    <w:rsid w:val="002E4D18"/>
    <w:rsid w:val="002E4DE4"/>
    <w:rsid w:val="002E4EFA"/>
    <w:rsid w:val="002E5244"/>
    <w:rsid w:val="002E52C1"/>
    <w:rsid w:val="002E5302"/>
    <w:rsid w:val="002E5A3B"/>
    <w:rsid w:val="002E5B83"/>
    <w:rsid w:val="002E6034"/>
    <w:rsid w:val="002E6D1B"/>
    <w:rsid w:val="002E6D2F"/>
    <w:rsid w:val="002E700B"/>
    <w:rsid w:val="002E7515"/>
    <w:rsid w:val="002E7E89"/>
    <w:rsid w:val="002E7F9D"/>
    <w:rsid w:val="002F0601"/>
    <w:rsid w:val="002F1153"/>
    <w:rsid w:val="002F17F4"/>
    <w:rsid w:val="002F1A03"/>
    <w:rsid w:val="002F2201"/>
    <w:rsid w:val="002F2424"/>
    <w:rsid w:val="002F2475"/>
    <w:rsid w:val="002F3857"/>
    <w:rsid w:val="002F3B75"/>
    <w:rsid w:val="002F465D"/>
    <w:rsid w:val="002F638E"/>
    <w:rsid w:val="002F653B"/>
    <w:rsid w:val="002F690B"/>
    <w:rsid w:val="002F6E59"/>
    <w:rsid w:val="002F73C6"/>
    <w:rsid w:val="0030063C"/>
    <w:rsid w:val="00300700"/>
    <w:rsid w:val="003007E8"/>
    <w:rsid w:val="00301087"/>
    <w:rsid w:val="003012AB"/>
    <w:rsid w:val="00301697"/>
    <w:rsid w:val="00301A9F"/>
    <w:rsid w:val="00302177"/>
    <w:rsid w:val="003024EB"/>
    <w:rsid w:val="00303A3D"/>
    <w:rsid w:val="003041C7"/>
    <w:rsid w:val="003047D2"/>
    <w:rsid w:val="00306D21"/>
    <w:rsid w:val="00307138"/>
    <w:rsid w:val="00307536"/>
    <w:rsid w:val="003079CC"/>
    <w:rsid w:val="00307AD6"/>
    <w:rsid w:val="00307F09"/>
    <w:rsid w:val="00310BAC"/>
    <w:rsid w:val="00310C1E"/>
    <w:rsid w:val="00310CD7"/>
    <w:rsid w:val="00311EDC"/>
    <w:rsid w:val="00312555"/>
    <w:rsid w:val="00312744"/>
    <w:rsid w:val="00312B21"/>
    <w:rsid w:val="00312C3B"/>
    <w:rsid w:val="00313D9B"/>
    <w:rsid w:val="003144FD"/>
    <w:rsid w:val="00315119"/>
    <w:rsid w:val="00315CE8"/>
    <w:rsid w:val="00315F04"/>
    <w:rsid w:val="00316F30"/>
    <w:rsid w:val="00317091"/>
    <w:rsid w:val="00317552"/>
    <w:rsid w:val="00320296"/>
    <w:rsid w:val="003202E0"/>
    <w:rsid w:val="00320E8E"/>
    <w:rsid w:val="00320F97"/>
    <w:rsid w:val="00321497"/>
    <w:rsid w:val="00321606"/>
    <w:rsid w:val="003234EB"/>
    <w:rsid w:val="00323824"/>
    <w:rsid w:val="00324802"/>
    <w:rsid w:val="0032480F"/>
    <w:rsid w:val="00324ECB"/>
    <w:rsid w:val="003250EA"/>
    <w:rsid w:val="0032532A"/>
    <w:rsid w:val="0032549C"/>
    <w:rsid w:val="00325714"/>
    <w:rsid w:val="00325F00"/>
    <w:rsid w:val="0032617A"/>
    <w:rsid w:val="00327CD2"/>
    <w:rsid w:val="00327D63"/>
    <w:rsid w:val="00330BF9"/>
    <w:rsid w:val="00330D11"/>
    <w:rsid w:val="00330ED7"/>
    <w:rsid w:val="00330F20"/>
    <w:rsid w:val="00331574"/>
    <w:rsid w:val="00331962"/>
    <w:rsid w:val="00331A63"/>
    <w:rsid w:val="00331ADC"/>
    <w:rsid w:val="00332F66"/>
    <w:rsid w:val="00333998"/>
    <w:rsid w:val="00333BE7"/>
    <w:rsid w:val="00334754"/>
    <w:rsid w:val="00335304"/>
    <w:rsid w:val="00335BD2"/>
    <w:rsid w:val="003360AD"/>
    <w:rsid w:val="00336AD3"/>
    <w:rsid w:val="00340894"/>
    <w:rsid w:val="003409B7"/>
    <w:rsid w:val="00340BA2"/>
    <w:rsid w:val="00342119"/>
    <w:rsid w:val="0034369A"/>
    <w:rsid w:val="00345024"/>
    <w:rsid w:val="00345296"/>
    <w:rsid w:val="00346721"/>
    <w:rsid w:val="00347591"/>
    <w:rsid w:val="00347B38"/>
    <w:rsid w:val="0035008D"/>
    <w:rsid w:val="003505D4"/>
    <w:rsid w:val="00350652"/>
    <w:rsid w:val="00350675"/>
    <w:rsid w:val="00350795"/>
    <w:rsid w:val="00350BC1"/>
    <w:rsid w:val="003511B1"/>
    <w:rsid w:val="003512FD"/>
    <w:rsid w:val="003520DB"/>
    <w:rsid w:val="003521AF"/>
    <w:rsid w:val="00352280"/>
    <w:rsid w:val="003526F9"/>
    <w:rsid w:val="00352CF4"/>
    <w:rsid w:val="00353040"/>
    <w:rsid w:val="00353643"/>
    <w:rsid w:val="00354321"/>
    <w:rsid w:val="003543F3"/>
    <w:rsid w:val="00354F4B"/>
    <w:rsid w:val="003551FC"/>
    <w:rsid w:val="00355E19"/>
    <w:rsid w:val="0035619D"/>
    <w:rsid w:val="00356680"/>
    <w:rsid w:val="0035710A"/>
    <w:rsid w:val="003572A1"/>
    <w:rsid w:val="00357C03"/>
    <w:rsid w:val="00360665"/>
    <w:rsid w:val="0036070A"/>
    <w:rsid w:val="00360E7F"/>
    <w:rsid w:val="00361384"/>
    <w:rsid w:val="0036165C"/>
    <w:rsid w:val="00361DB2"/>
    <w:rsid w:val="00362F06"/>
    <w:rsid w:val="003632BC"/>
    <w:rsid w:val="00363449"/>
    <w:rsid w:val="0036370A"/>
    <w:rsid w:val="00364D6A"/>
    <w:rsid w:val="00365142"/>
    <w:rsid w:val="0036561E"/>
    <w:rsid w:val="0036566B"/>
    <w:rsid w:val="003657BE"/>
    <w:rsid w:val="00365B12"/>
    <w:rsid w:val="00367090"/>
    <w:rsid w:val="003674E4"/>
    <w:rsid w:val="00370956"/>
    <w:rsid w:val="00370E5B"/>
    <w:rsid w:val="00371392"/>
    <w:rsid w:val="003727D6"/>
    <w:rsid w:val="00372BDD"/>
    <w:rsid w:val="00373656"/>
    <w:rsid w:val="00374153"/>
    <w:rsid w:val="00374414"/>
    <w:rsid w:val="00374843"/>
    <w:rsid w:val="0037496C"/>
    <w:rsid w:val="0037541A"/>
    <w:rsid w:val="003755A0"/>
    <w:rsid w:val="00375D23"/>
    <w:rsid w:val="003767EB"/>
    <w:rsid w:val="00376980"/>
    <w:rsid w:val="0037751F"/>
    <w:rsid w:val="00380088"/>
    <w:rsid w:val="003809E8"/>
    <w:rsid w:val="003819B7"/>
    <w:rsid w:val="00381EA7"/>
    <w:rsid w:val="00381FF3"/>
    <w:rsid w:val="003823F7"/>
    <w:rsid w:val="00382ADD"/>
    <w:rsid w:val="00384687"/>
    <w:rsid w:val="00384A97"/>
    <w:rsid w:val="003851B8"/>
    <w:rsid w:val="003861AE"/>
    <w:rsid w:val="00387494"/>
    <w:rsid w:val="00390681"/>
    <w:rsid w:val="003906EC"/>
    <w:rsid w:val="00390BDC"/>
    <w:rsid w:val="00390C2A"/>
    <w:rsid w:val="00390D41"/>
    <w:rsid w:val="003911B4"/>
    <w:rsid w:val="0039139E"/>
    <w:rsid w:val="00391779"/>
    <w:rsid w:val="00391971"/>
    <w:rsid w:val="00391A51"/>
    <w:rsid w:val="003927B5"/>
    <w:rsid w:val="00392865"/>
    <w:rsid w:val="00393109"/>
    <w:rsid w:val="00394524"/>
    <w:rsid w:val="003945B1"/>
    <w:rsid w:val="0039494B"/>
    <w:rsid w:val="00395076"/>
    <w:rsid w:val="00395385"/>
    <w:rsid w:val="003954AA"/>
    <w:rsid w:val="00395999"/>
    <w:rsid w:val="00396113"/>
    <w:rsid w:val="00397053"/>
    <w:rsid w:val="003974CA"/>
    <w:rsid w:val="003979A3"/>
    <w:rsid w:val="00397E0F"/>
    <w:rsid w:val="00397E51"/>
    <w:rsid w:val="003A02A2"/>
    <w:rsid w:val="003A0B59"/>
    <w:rsid w:val="003A1585"/>
    <w:rsid w:val="003A183B"/>
    <w:rsid w:val="003A24DC"/>
    <w:rsid w:val="003A2936"/>
    <w:rsid w:val="003A2C20"/>
    <w:rsid w:val="003A3286"/>
    <w:rsid w:val="003A389D"/>
    <w:rsid w:val="003A3ECF"/>
    <w:rsid w:val="003A475E"/>
    <w:rsid w:val="003A533C"/>
    <w:rsid w:val="003A5D6A"/>
    <w:rsid w:val="003A641B"/>
    <w:rsid w:val="003A672F"/>
    <w:rsid w:val="003A7BF8"/>
    <w:rsid w:val="003B0750"/>
    <w:rsid w:val="003B0979"/>
    <w:rsid w:val="003B0C39"/>
    <w:rsid w:val="003B1697"/>
    <w:rsid w:val="003B1A61"/>
    <w:rsid w:val="003B1D0D"/>
    <w:rsid w:val="003B1F73"/>
    <w:rsid w:val="003B2956"/>
    <w:rsid w:val="003B37D5"/>
    <w:rsid w:val="003B41F3"/>
    <w:rsid w:val="003B4659"/>
    <w:rsid w:val="003B4BCA"/>
    <w:rsid w:val="003B6A0A"/>
    <w:rsid w:val="003B7E6E"/>
    <w:rsid w:val="003C069E"/>
    <w:rsid w:val="003C2734"/>
    <w:rsid w:val="003C2B10"/>
    <w:rsid w:val="003C2CEE"/>
    <w:rsid w:val="003C3982"/>
    <w:rsid w:val="003C39C1"/>
    <w:rsid w:val="003C39CD"/>
    <w:rsid w:val="003C3BF5"/>
    <w:rsid w:val="003C3E87"/>
    <w:rsid w:val="003C428E"/>
    <w:rsid w:val="003C43A5"/>
    <w:rsid w:val="003C443C"/>
    <w:rsid w:val="003C4473"/>
    <w:rsid w:val="003C4AA8"/>
    <w:rsid w:val="003C507B"/>
    <w:rsid w:val="003C5119"/>
    <w:rsid w:val="003C55D4"/>
    <w:rsid w:val="003C5B05"/>
    <w:rsid w:val="003C6098"/>
    <w:rsid w:val="003C6BC9"/>
    <w:rsid w:val="003C6D8D"/>
    <w:rsid w:val="003C6E81"/>
    <w:rsid w:val="003C7125"/>
    <w:rsid w:val="003C7810"/>
    <w:rsid w:val="003C7E70"/>
    <w:rsid w:val="003D00B4"/>
    <w:rsid w:val="003D0143"/>
    <w:rsid w:val="003D0F4E"/>
    <w:rsid w:val="003D207B"/>
    <w:rsid w:val="003D27FC"/>
    <w:rsid w:val="003D2872"/>
    <w:rsid w:val="003D3A92"/>
    <w:rsid w:val="003D3FBF"/>
    <w:rsid w:val="003D5314"/>
    <w:rsid w:val="003D5C82"/>
    <w:rsid w:val="003D5CE2"/>
    <w:rsid w:val="003D5CF2"/>
    <w:rsid w:val="003D6078"/>
    <w:rsid w:val="003D6A8F"/>
    <w:rsid w:val="003D7353"/>
    <w:rsid w:val="003D7681"/>
    <w:rsid w:val="003D780A"/>
    <w:rsid w:val="003D7835"/>
    <w:rsid w:val="003D7C77"/>
    <w:rsid w:val="003E0695"/>
    <w:rsid w:val="003E187C"/>
    <w:rsid w:val="003E1EFB"/>
    <w:rsid w:val="003E2344"/>
    <w:rsid w:val="003E25A5"/>
    <w:rsid w:val="003E2B29"/>
    <w:rsid w:val="003E33E8"/>
    <w:rsid w:val="003E35BD"/>
    <w:rsid w:val="003E35FA"/>
    <w:rsid w:val="003E3C7C"/>
    <w:rsid w:val="003E3F75"/>
    <w:rsid w:val="003E41D0"/>
    <w:rsid w:val="003E43AE"/>
    <w:rsid w:val="003E5595"/>
    <w:rsid w:val="003E5F2D"/>
    <w:rsid w:val="003E62D7"/>
    <w:rsid w:val="003F0381"/>
    <w:rsid w:val="003F0C70"/>
    <w:rsid w:val="003F0D6F"/>
    <w:rsid w:val="003F11C9"/>
    <w:rsid w:val="003F14DA"/>
    <w:rsid w:val="003F1759"/>
    <w:rsid w:val="003F17D0"/>
    <w:rsid w:val="003F29C8"/>
    <w:rsid w:val="003F2E47"/>
    <w:rsid w:val="003F3A21"/>
    <w:rsid w:val="003F3F8B"/>
    <w:rsid w:val="003F4043"/>
    <w:rsid w:val="003F417E"/>
    <w:rsid w:val="003F4716"/>
    <w:rsid w:val="003F4D78"/>
    <w:rsid w:val="003F6C53"/>
    <w:rsid w:val="003F6FF5"/>
    <w:rsid w:val="003F7117"/>
    <w:rsid w:val="003F739B"/>
    <w:rsid w:val="003F79A9"/>
    <w:rsid w:val="00400493"/>
    <w:rsid w:val="00400AC0"/>
    <w:rsid w:val="0040101E"/>
    <w:rsid w:val="00402E33"/>
    <w:rsid w:val="00402F76"/>
    <w:rsid w:val="00403293"/>
    <w:rsid w:val="004038B2"/>
    <w:rsid w:val="00403C69"/>
    <w:rsid w:val="004041C7"/>
    <w:rsid w:val="004045C6"/>
    <w:rsid w:val="0040490C"/>
    <w:rsid w:val="0040572B"/>
    <w:rsid w:val="00405B89"/>
    <w:rsid w:val="00405FE5"/>
    <w:rsid w:val="00406D5A"/>
    <w:rsid w:val="00407D57"/>
    <w:rsid w:val="004105BB"/>
    <w:rsid w:val="004117DC"/>
    <w:rsid w:val="00411A9D"/>
    <w:rsid w:val="00411DED"/>
    <w:rsid w:val="00412C95"/>
    <w:rsid w:val="00412D57"/>
    <w:rsid w:val="00412F35"/>
    <w:rsid w:val="0041347F"/>
    <w:rsid w:val="00413707"/>
    <w:rsid w:val="004140F7"/>
    <w:rsid w:val="0041439B"/>
    <w:rsid w:val="00414A14"/>
    <w:rsid w:val="00415399"/>
    <w:rsid w:val="0041565F"/>
    <w:rsid w:val="00415E14"/>
    <w:rsid w:val="0041646F"/>
    <w:rsid w:val="0041654C"/>
    <w:rsid w:val="004167F3"/>
    <w:rsid w:val="00416B94"/>
    <w:rsid w:val="004172C4"/>
    <w:rsid w:val="00420CB0"/>
    <w:rsid w:val="00420E2D"/>
    <w:rsid w:val="00421A49"/>
    <w:rsid w:val="00421BFC"/>
    <w:rsid w:val="004220F7"/>
    <w:rsid w:val="004226EB"/>
    <w:rsid w:val="00422EB4"/>
    <w:rsid w:val="0042314B"/>
    <w:rsid w:val="00424571"/>
    <w:rsid w:val="004245A0"/>
    <w:rsid w:val="00424914"/>
    <w:rsid w:val="00424B8A"/>
    <w:rsid w:val="00426351"/>
    <w:rsid w:val="004264F2"/>
    <w:rsid w:val="0042652F"/>
    <w:rsid w:val="004265F3"/>
    <w:rsid w:val="00427321"/>
    <w:rsid w:val="004273FE"/>
    <w:rsid w:val="00427923"/>
    <w:rsid w:val="00430131"/>
    <w:rsid w:val="004306B1"/>
    <w:rsid w:val="00430E1B"/>
    <w:rsid w:val="00430E74"/>
    <w:rsid w:val="004312BB"/>
    <w:rsid w:val="00431417"/>
    <w:rsid w:val="00431F44"/>
    <w:rsid w:val="004327DD"/>
    <w:rsid w:val="00434BEF"/>
    <w:rsid w:val="00435852"/>
    <w:rsid w:val="00436AF6"/>
    <w:rsid w:val="00436E38"/>
    <w:rsid w:val="00437A7D"/>
    <w:rsid w:val="00437BF5"/>
    <w:rsid w:val="00437C82"/>
    <w:rsid w:val="004404DD"/>
    <w:rsid w:val="004408C3"/>
    <w:rsid w:val="00440D76"/>
    <w:rsid w:val="00440F7D"/>
    <w:rsid w:val="00441AD3"/>
    <w:rsid w:val="00443235"/>
    <w:rsid w:val="0044326D"/>
    <w:rsid w:val="00443FDE"/>
    <w:rsid w:val="00444578"/>
    <w:rsid w:val="0044475C"/>
    <w:rsid w:val="00445180"/>
    <w:rsid w:val="0044543F"/>
    <w:rsid w:val="0044544B"/>
    <w:rsid w:val="0044599A"/>
    <w:rsid w:val="004465EE"/>
    <w:rsid w:val="00446D71"/>
    <w:rsid w:val="00447098"/>
    <w:rsid w:val="004476CD"/>
    <w:rsid w:val="0045002F"/>
    <w:rsid w:val="004500D9"/>
    <w:rsid w:val="0045031C"/>
    <w:rsid w:val="004505DA"/>
    <w:rsid w:val="0045161B"/>
    <w:rsid w:val="0045211D"/>
    <w:rsid w:val="0045218C"/>
    <w:rsid w:val="00453308"/>
    <w:rsid w:val="004548A8"/>
    <w:rsid w:val="00454D96"/>
    <w:rsid w:val="004550D5"/>
    <w:rsid w:val="004550EE"/>
    <w:rsid w:val="004553AE"/>
    <w:rsid w:val="004556C9"/>
    <w:rsid w:val="004560FF"/>
    <w:rsid w:val="0045742D"/>
    <w:rsid w:val="00457A04"/>
    <w:rsid w:val="00457D5E"/>
    <w:rsid w:val="00457DDB"/>
    <w:rsid w:val="004604EE"/>
    <w:rsid w:val="004606DB"/>
    <w:rsid w:val="00460FC1"/>
    <w:rsid w:val="00461431"/>
    <w:rsid w:val="004622C2"/>
    <w:rsid w:val="004629AE"/>
    <w:rsid w:val="00463718"/>
    <w:rsid w:val="00464358"/>
    <w:rsid w:val="0046590D"/>
    <w:rsid w:val="00466C22"/>
    <w:rsid w:val="0046735D"/>
    <w:rsid w:val="00467756"/>
    <w:rsid w:val="00467F81"/>
    <w:rsid w:val="00467F91"/>
    <w:rsid w:val="0047007B"/>
    <w:rsid w:val="004708C0"/>
    <w:rsid w:val="00470958"/>
    <w:rsid w:val="004717ED"/>
    <w:rsid w:val="00471FEC"/>
    <w:rsid w:val="004728A1"/>
    <w:rsid w:val="004735C9"/>
    <w:rsid w:val="00473604"/>
    <w:rsid w:val="00474AE7"/>
    <w:rsid w:val="00474DC6"/>
    <w:rsid w:val="004759CC"/>
    <w:rsid w:val="00475A5C"/>
    <w:rsid w:val="00475A9A"/>
    <w:rsid w:val="00476096"/>
    <w:rsid w:val="004769D4"/>
    <w:rsid w:val="00476EE4"/>
    <w:rsid w:val="00477092"/>
    <w:rsid w:val="00477214"/>
    <w:rsid w:val="0048006A"/>
    <w:rsid w:val="0048085E"/>
    <w:rsid w:val="0048169E"/>
    <w:rsid w:val="004830B6"/>
    <w:rsid w:val="00483939"/>
    <w:rsid w:val="00483B64"/>
    <w:rsid w:val="00486DFA"/>
    <w:rsid w:val="00487C67"/>
    <w:rsid w:val="0049045A"/>
    <w:rsid w:val="004911E2"/>
    <w:rsid w:val="004912B7"/>
    <w:rsid w:val="004919BD"/>
    <w:rsid w:val="00491A4E"/>
    <w:rsid w:val="004926AE"/>
    <w:rsid w:val="004926C7"/>
    <w:rsid w:val="00492FA7"/>
    <w:rsid w:val="00493D91"/>
    <w:rsid w:val="004944AF"/>
    <w:rsid w:val="00496506"/>
    <w:rsid w:val="00496862"/>
    <w:rsid w:val="00496AC4"/>
    <w:rsid w:val="00496DBF"/>
    <w:rsid w:val="00497AFA"/>
    <w:rsid w:val="00497B48"/>
    <w:rsid w:val="004A0700"/>
    <w:rsid w:val="004A09E8"/>
    <w:rsid w:val="004A1044"/>
    <w:rsid w:val="004A17BC"/>
    <w:rsid w:val="004A1BD1"/>
    <w:rsid w:val="004A1DF8"/>
    <w:rsid w:val="004A2366"/>
    <w:rsid w:val="004A2C51"/>
    <w:rsid w:val="004A2D10"/>
    <w:rsid w:val="004A3722"/>
    <w:rsid w:val="004A3B7A"/>
    <w:rsid w:val="004A42C3"/>
    <w:rsid w:val="004A4534"/>
    <w:rsid w:val="004A474E"/>
    <w:rsid w:val="004A4D0D"/>
    <w:rsid w:val="004A4DD0"/>
    <w:rsid w:val="004A5187"/>
    <w:rsid w:val="004A5E5A"/>
    <w:rsid w:val="004A5E67"/>
    <w:rsid w:val="004A673D"/>
    <w:rsid w:val="004A6980"/>
    <w:rsid w:val="004A7445"/>
    <w:rsid w:val="004A7765"/>
    <w:rsid w:val="004A7D94"/>
    <w:rsid w:val="004B046F"/>
    <w:rsid w:val="004B0E4E"/>
    <w:rsid w:val="004B1317"/>
    <w:rsid w:val="004B1C31"/>
    <w:rsid w:val="004B2261"/>
    <w:rsid w:val="004B280B"/>
    <w:rsid w:val="004B2AC6"/>
    <w:rsid w:val="004B2CD9"/>
    <w:rsid w:val="004B2FF1"/>
    <w:rsid w:val="004B439C"/>
    <w:rsid w:val="004B4764"/>
    <w:rsid w:val="004B5109"/>
    <w:rsid w:val="004B5414"/>
    <w:rsid w:val="004B5785"/>
    <w:rsid w:val="004B5A45"/>
    <w:rsid w:val="004B6BA1"/>
    <w:rsid w:val="004B6C7A"/>
    <w:rsid w:val="004B6F91"/>
    <w:rsid w:val="004B71B7"/>
    <w:rsid w:val="004B7256"/>
    <w:rsid w:val="004B7336"/>
    <w:rsid w:val="004C24CD"/>
    <w:rsid w:val="004C2B85"/>
    <w:rsid w:val="004C2CEA"/>
    <w:rsid w:val="004C30FD"/>
    <w:rsid w:val="004C3254"/>
    <w:rsid w:val="004C360B"/>
    <w:rsid w:val="004C4711"/>
    <w:rsid w:val="004C5A3C"/>
    <w:rsid w:val="004C6313"/>
    <w:rsid w:val="004C6529"/>
    <w:rsid w:val="004C661F"/>
    <w:rsid w:val="004C6FCB"/>
    <w:rsid w:val="004C7BBB"/>
    <w:rsid w:val="004D0098"/>
    <w:rsid w:val="004D04D0"/>
    <w:rsid w:val="004D0681"/>
    <w:rsid w:val="004D1065"/>
    <w:rsid w:val="004D1912"/>
    <w:rsid w:val="004D30B5"/>
    <w:rsid w:val="004D3269"/>
    <w:rsid w:val="004D4863"/>
    <w:rsid w:val="004D4FB4"/>
    <w:rsid w:val="004D5697"/>
    <w:rsid w:val="004D60DE"/>
    <w:rsid w:val="004D6370"/>
    <w:rsid w:val="004D6382"/>
    <w:rsid w:val="004D7275"/>
    <w:rsid w:val="004E058D"/>
    <w:rsid w:val="004E1399"/>
    <w:rsid w:val="004E1475"/>
    <w:rsid w:val="004E1FA4"/>
    <w:rsid w:val="004E2217"/>
    <w:rsid w:val="004E2C14"/>
    <w:rsid w:val="004E3263"/>
    <w:rsid w:val="004E34BB"/>
    <w:rsid w:val="004E3665"/>
    <w:rsid w:val="004E396D"/>
    <w:rsid w:val="004E3BE8"/>
    <w:rsid w:val="004E5117"/>
    <w:rsid w:val="004E56F7"/>
    <w:rsid w:val="004E6276"/>
    <w:rsid w:val="004E65D1"/>
    <w:rsid w:val="004E6833"/>
    <w:rsid w:val="004E6981"/>
    <w:rsid w:val="004F0781"/>
    <w:rsid w:val="004F13DE"/>
    <w:rsid w:val="004F140B"/>
    <w:rsid w:val="004F1B2E"/>
    <w:rsid w:val="004F2661"/>
    <w:rsid w:val="004F44A6"/>
    <w:rsid w:val="004F4ECC"/>
    <w:rsid w:val="004F67B6"/>
    <w:rsid w:val="004F6BED"/>
    <w:rsid w:val="004F7509"/>
    <w:rsid w:val="004F7D58"/>
    <w:rsid w:val="00500327"/>
    <w:rsid w:val="00501285"/>
    <w:rsid w:val="00501801"/>
    <w:rsid w:val="00501E8A"/>
    <w:rsid w:val="0050329A"/>
    <w:rsid w:val="005041B1"/>
    <w:rsid w:val="005044B7"/>
    <w:rsid w:val="005048B0"/>
    <w:rsid w:val="00505714"/>
    <w:rsid w:val="005061BC"/>
    <w:rsid w:val="005066F7"/>
    <w:rsid w:val="00506D4F"/>
    <w:rsid w:val="00507524"/>
    <w:rsid w:val="00507583"/>
    <w:rsid w:val="00507669"/>
    <w:rsid w:val="00507DCD"/>
    <w:rsid w:val="0051073E"/>
    <w:rsid w:val="0051211F"/>
    <w:rsid w:val="00512BC9"/>
    <w:rsid w:val="005132BC"/>
    <w:rsid w:val="005137F7"/>
    <w:rsid w:val="005140C4"/>
    <w:rsid w:val="005143E2"/>
    <w:rsid w:val="0051491B"/>
    <w:rsid w:val="00514AC9"/>
    <w:rsid w:val="00514C1C"/>
    <w:rsid w:val="00515B0B"/>
    <w:rsid w:val="00515EC4"/>
    <w:rsid w:val="0051605E"/>
    <w:rsid w:val="005160F9"/>
    <w:rsid w:val="0051639A"/>
    <w:rsid w:val="0051671D"/>
    <w:rsid w:val="005168B5"/>
    <w:rsid w:val="00517815"/>
    <w:rsid w:val="00517D2B"/>
    <w:rsid w:val="0052031C"/>
    <w:rsid w:val="00520C3D"/>
    <w:rsid w:val="005222C2"/>
    <w:rsid w:val="005225BF"/>
    <w:rsid w:val="005229F1"/>
    <w:rsid w:val="00522BE6"/>
    <w:rsid w:val="00522C0F"/>
    <w:rsid w:val="00522E5E"/>
    <w:rsid w:val="00523741"/>
    <w:rsid w:val="00523B0B"/>
    <w:rsid w:val="0052533F"/>
    <w:rsid w:val="0052560F"/>
    <w:rsid w:val="0052595C"/>
    <w:rsid w:val="00525A4F"/>
    <w:rsid w:val="00527282"/>
    <w:rsid w:val="00527517"/>
    <w:rsid w:val="00527C2B"/>
    <w:rsid w:val="00530005"/>
    <w:rsid w:val="005305E6"/>
    <w:rsid w:val="00530EDD"/>
    <w:rsid w:val="0053105B"/>
    <w:rsid w:val="0053128E"/>
    <w:rsid w:val="0053138B"/>
    <w:rsid w:val="005327E5"/>
    <w:rsid w:val="00532A1E"/>
    <w:rsid w:val="005330EB"/>
    <w:rsid w:val="00533C63"/>
    <w:rsid w:val="00534148"/>
    <w:rsid w:val="005346E1"/>
    <w:rsid w:val="0053646E"/>
    <w:rsid w:val="00537C84"/>
    <w:rsid w:val="00540BA9"/>
    <w:rsid w:val="00540D76"/>
    <w:rsid w:val="00542223"/>
    <w:rsid w:val="005427ED"/>
    <w:rsid w:val="00542FA4"/>
    <w:rsid w:val="005430BF"/>
    <w:rsid w:val="0054413B"/>
    <w:rsid w:val="005442E1"/>
    <w:rsid w:val="00544BE0"/>
    <w:rsid w:val="00544DC6"/>
    <w:rsid w:val="00545030"/>
    <w:rsid w:val="00545163"/>
    <w:rsid w:val="00545FC4"/>
    <w:rsid w:val="00546079"/>
    <w:rsid w:val="0054611F"/>
    <w:rsid w:val="005463B3"/>
    <w:rsid w:val="00551A3D"/>
    <w:rsid w:val="00551F81"/>
    <w:rsid w:val="005526F5"/>
    <w:rsid w:val="00554285"/>
    <w:rsid w:val="00554929"/>
    <w:rsid w:val="005549BB"/>
    <w:rsid w:val="00554B10"/>
    <w:rsid w:val="00554BC1"/>
    <w:rsid w:val="00554E3D"/>
    <w:rsid w:val="00555250"/>
    <w:rsid w:val="00556311"/>
    <w:rsid w:val="00556519"/>
    <w:rsid w:val="00556545"/>
    <w:rsid w:val="005570B4"/>
    <w:rsid w:val="0055778D"/>
    <w:rsid w:val="00557CBB"/>
    <w:rsid w:val="00557FBE"/>
    <w:rsid w:val="00560928"/>
    <w:rsid w:val="00560EF2"/>
    <w:rsid w:val="00561711"/>
    <w:rsid w:val="005617B6"/>
    <w:rsid w:val="00561CD4"/>
    <w:rsid w:val="00561E90"/>
    <w:rsid w:val="00561F0F"/>
    <w:rsid w:val="00562169"/>
    <w:rsid w:val="00562600"/>
    <w:rsid w:val="00562670"/>
    <w:rsid w:val="00562E3E"/>
    <w:rsid w:val="005634E3"/>
    <w:rsid w:val="00563AF8"/>
    <w:rsid w:val="005643C9"/>
    <w:rsid w:val="0056468B"/>
    <w:rsid w:val="00566DAA"/>
    <w:rsid w:val="00567187"/>
    <w:rsid w:val="005671E9"/>
    <w:rsid w:val="00567376"/>
    <w:rsid w:val="005677E3"/>
    <w:rsid w:val="00567B5E"/>
    <w:rsid w:val="005705FC"/>
    <w:rsid w:val="0057157F"/>
    <w:rsid w:val="005723BC"/>
    <w:rsid w:val="0057264F"/>
    <w:rsid w:val="00572FAD"/>
    <w:rsid w:val="005738D7"/>
    <w:rsid w:val="00574884"/>
    <w:rsid w:val="005753DB"/>
    <w:rsid w:val="00575CAA"/>
    <w:rsid w:val="005769F6"/>
    <w:rsid w:val="00576DCE"/>
    <w:rsid w:val="00576F39"/>
    <w:rsid w:val="00577667"/>
    <w:rsid w:val="00577EFC"/>
    <w:rsid w:val="0058026B"/>
    <w:rsid w:val="0058098C"/>
    <w:rsid w:val="0058101D"/>
    <w:rsid w:val="005812EE"/>
    <w:rsid w:val="005820B2"/>
    <w:rsid w:val="00582436"/>
    <w:rsid w:val="005828F5"/>
    <w:rsid w:val="00584FD4"/>
    <w:rsid w:val="00585A72"/>
    <w:rsid w:val="00585F0D"/>
    <w:rsid w:val="00586733"/>
    <w:rsid w:val="00590AB1"/>
    <w:rsid w:val="00593833"/>
    <w:rsid w:val="00593A24"/>
    <w:rsid w:val="00594DB6"/>
    <w:rsid w:val="00594EEA"/>
    <w:rsid w:val="00595DF2"/>
    <w:rsid w:val="00595E89"/>
    <w:rsid w:val="00596649"/>
    <w:rsid w:val="00597E75"/>
    <w:rsid w:val="005A1B4D"/>
    <w:rsid w:val="005A2364"/>
    <w:rsid w:val="005A2605"/>
    <w:rsid w:val="005A2678"/>
    <w:rsid w:val="005A34A6"/>
    <w:rsid w:val="005A3E80"/>
    <w:rsid w:val="005A4FFB"/>
    <w:rsid w:val="005A5393"/>
    <w:rsid w:val="005A54E4"/>
    <w:rsid w:val="005A557D"/>
    <w:rsid w:val="005A6D71"/>
    <w:rsid w:val="005A7556"/>
    <w:rsid w:val="005A7AA4"/>
    <w:rsid w:val="005B1646"/>
    <w:rsid w:val="005B1D6A"/>
    <w:rsid w:val="005B2037"/>
    <w:rsid w:val="005B2174"/>
    <w:rsid w:val="005B2E2C"/>
    <w:rsid w:val="005B395E"/>
    <w:rsid w:val="005B3BDA"/>
    <w:rsid w:val="005B42B2"/>
    <w:rsid w:val="005B4981"/>
    <w:rsid w:val="005B4A4B"/>
    <w:rsid w:val="005B4CF6"/>
    <w:rsid w:val="005B4E67"/>
    <w:rsid w:val="005B55F3"/>
    <w:rsid w:val="005B661F"/>
    <w:rsid w:val="005B6B23"/>
    <w:rsid w:val="005B6D1A"/>
    <w:rsid w:val="005B782B"/>
    <w:rsid w:val="005B7DFB"/>
    <w:rsid w:val="005B7E5E"/>
    <w:rsid w:val="005C024B"/>
    <w:rsid w:val="005C07D3"/>
    <w:rsid w:val="005C1043"/>
    <w:rsid w:val="005C1AF1"/>
    <w:rsid w:val="005C2322"/>
    <w:rsid w:val="005C3409"/>
    <w:rsid w:val="005C370B"/>
    <w:rsid w:val="005C5B68"/>
    <w:rsid w:val="005C5DC9"/>
    <w:rsid w:val="005C60CE"/>
    <w:rsid w:val="005C6444"/>
    <w:rsid w:val="005C69B8"/>
    <w:rsid w:val="005C6C41"/>
    <w:rsid w:val="005C6F1C"/>
    <w:rsid w:val="005D0B79"/>
    <w:rsid w:val="005D0F2D"/>
    <w:rsid w:val="005D12C6"/>
    <w:rsid w:val="005D1653"/>
    <w:rsid w:val="005D17E9"/>
    <w:rsid w:val="005D1DF5"/>
    <w:rsid w:val="005D2278"/>
    <w:rsid w:val="005D28AB"/>
    <w:rsid w:val="005D28B0"/>
    <w:rsid w:val="005D2A29"/>
    <w:rsid w:val="005D4098"/>
    <w:rsid w:val="005D437A"/>
    <w:rsid w:val="005D451E"/>
    <w:rsid w:val="005D546F"/>
    <w:rsid w:val="005D5E1C"/>
    <w:rsid w:val="005D63E5"/>
    <w:rsid w:val="005D6AFE"/>
    <w:rsid w:val="005D6B83"/>
    <w:rsid w:val="005D74AA"/>
    <w:rsid w:val="005D7627"/>
    <w:rsid w:val="005D7F3C"/>
    <w:rsid w:val="005D7FDA"/>
    <w:rsid w:val="005E03DA"/>
    <w:rsid w:val="005E0935"/>
    <w:rsid w:val="005E0A52"/>
    <w:rsid w:val="005E16E6"/>
    <w:rsid w:val="005E1949"/>
    <w:rsid w:val="005E1A39"/>
    <w:rsid w:val="005E1B49"/>
    <w:rsid w:val="005E1D16"/>
    <w:rsid w:val="005E2860"/>
    <w:rsid w:val="005E35C6"/>
    <w:rsid w:val="005E4D6D"/>
    <w:rsid w:val="005E54B7"/>
    <w:rsid w:val="005E55CC"/>
    <w:rsid w:val="005E7248"/>
    <w:rsid w:val="005E772B"/>
    <w:rsid w:val="005E7960"/>
    <w:rsid w:val="005E7D55"/>
    <w:rsid w:val="005F076D"/>
    <w:rsid w:val="005F0B38"/>
    <w:rsid w:val="005F0B82"/>
    <w:rsid w:val="005F1786"/>
    <w:rsid w:val="005F1852"/>
    <w:rsid w:val="005F1DDF"/>
    <w:rsid w:val="005F4D4F"/>
    <w:rsid w:val="005F5E5C"/>
    <w:rsid w:val="005F66A7"/>
    <w:rsid w:val="005F677A"/>
    <w:rsid w:val="005F6962"/>
    <w:rsid w:val="005F6C0B"/>
    <w:rsid w:val="005F7C34"/>
    <w:rsid w:val="005F7E90"/>
    <w:rsid w:val="005F7FC0"/>
    <w:rsid w:val="006006E6"/>
    <w:rsid w:val="00600FFF"/>
    <w:rsid w:val="0060237F"/>
    <w:rsid w:val="00602835"/>
    <w:rsid w:val="00604921"/>
    <w:rsid w:val="00604D96"/>
    <w:rsid w:val="006056C2"/>
    <w:rsid w:val="0060577A"/>
    <w:rsid w:val="006069A7"/>
    <w:rsid w:val="006072B8"/>
    <w:rsid w:val="00607390"/>
    <w:rsid w:val="00610B6E"/>
    <w:rsid w:val="00612B68"/>
    <w:rsid w:val="00612EE1"/>
    <w:rsid w:val="00613C22"/>
    <w:rsid w:val="00613C23"/>
    <w:rsid w:val="006140AF"/>
    <w:rsid w:val="00614253"/>
    <w:rsid w:val="006143BD"/>
    <w:rsid w:val="00614642"/>
    <w:rsid w:val="00614B62"/>
    <w:rsid w:val="00615003"/>
    <w:rsid w:val="0061571F"/>
    <w:rsid w:val="0061598A"/>
    <w:rsid w:val="0061630F"/>
    <w:rsid w:val="00617502"/>
    <w:rsid w:val="0061760B"/>
    <w:rsid w:val="00617C6D"/>
    <w:rsid w:val="00617E7F"/>
    <w:rsid w:val="006200F9"/>
    <w:rsid w:val="0062073E"/>
    <w:rsid w:val="006212EA"/>
    <w:rsid w:val="006222CF"/>
    <w:rsid w:val="00623E66"/>
    <w:rsid w:val="006242BD"/>
    <w:rsid w:val="00625400"/>
    <w:rsid w:val="006255E4"/>
    <w:rsid w:val="00625D77"/>
    <w:rsid w:val="00625DAA"/>
    <w:rsid w:val="00626AAC"/>
    <w:rsid w:val="006277E6"/>
    <w:rsid w:val="00631094"/>
    <w:rsid w:val="00631463"/>
    <w:rsid w:val="006318F1"/>
    <w:rsid w:val="006321B9"/>
    <w:rsid w:val="0063236E"/>
    <w:rsid w:val="006326FF"/>
    <w:rsid w:val="00632BE7"/>
    <w:rsid w:val="00632D38"/>
    <w:rsid w:val="006335EF"/>
    <w:rsid w:val="00633A86"/>
    <w:rsid w:val="00633DEE"/>
    <w:rsid w:val="0063425A"/>
    <w:rsid w:val="006342D0"/>
    <w:rsid w:val="00634542"/>
    <w:rsid w:val="006347BA"/>
    <w:rsid w:val="006405B9"/>
    <w:rsid w:val="00640EE0"/>
    <w:rsid w:val="006416F3"/>
    <w:rsid w:val="00641A05"/>
    <w:rsid w:val="00642022"/>
    <w:rsid w:val="00642D13"/>
    <w:rsid w:val="00643735"/>
    <w:rsid w:val="00644E9F"/>
    <w:rsid w:val="00645234"/>
    <w:rsid w:val="006456DA"/>
    <w:rsid w:val="006471C7"/>
    <w:rsid w:val="0064756C"/>
    <w:rsid w:val="006500D0"/>
    <w:rsid w:val="0065082E"/>
    <w:rsid w:val="00650A5E"/>
    <w:rsid w:val="006518B0"/>
    <w:rsid w:val="006526A6"/>
    <w:rsid w:val="00652CB1"/>
    <w:rsid w:val="00653F17"/>
    <w:rsid w:val="0065503A"/>
    <w:rsid w:val="006551FF"/>
    <w:rsid w:val="00655631"/>
    <w:rsid w:val="00656962"/>
    <w:rsid w:val="00656ACA"/>
    <w:rsid w:val="00656B4F"/>
    <w:rsid w:val="00656BD7"/>
    <w:rsid w:val="00657B42"/>
    <w:rsid w:val="00660602"/>
    <w:rsid w:val="0066107A"/>
    <w:rsid w:val="0066154D"/>
    <w:rsid w:val="00661EAA"/>
    <w:rsid w:val="00662057"/>
    <w:rsid w:val="00662356"/>
    <w:rsid w:val="006623B7"/>
    <w:rsid w:val="00662928"/>
    <w:rsid w:val="00662BB5"/>
    <w:rsid w:val="00662ED9"/>
    <w:rsid w:val="00663136"/>
    <w:rsid w:val="00663308"/>
    <w:rsid w:val="006638A2"/>
    <w:rsid w:val="00664DF7"/>
    <w:rsid w:val="006656D5"/>
    <w:rsid w:val="00665E29"/>
    <w:rsid w:val="00665ED1"/>
    <w:rsid w:val="00665FA1"/>
    <w:rsid w:val="00666CCC"/>
    <w:rsid w:val="006672FE"/>
    <w:rsid w:val="00667586"/>
    <w:rsid w:val="00667BD2"/>
    <w:rsid w:val="00667C94"/>
    <w:rsid w:val="0067195A"/>
    <w:rsid w:val="00672750"/>
    <w:rsid w:val="006745A3"/>
    <w:rsid w:val="006750A7"/>
    <w:rsid w:val="00675303"/>
    <w:rsid w:val="00675577"/>
    <w:rsid w:val="006756C8"/>
    <w:rsid w:val="00676873"/>
    <w:rsid w:val="006769A5"/>
    <w:rsid w:val="00676C31"/>
    <w:rsid w:val="006770FD"/>
    <w:rsid w:val="0067722C"/>
    <w:rsid w:val="00677B76"/>
    <w:rsid w:val="006807E4"/>
    <w:rsid w:val="006807E7"/>
    <w:rsid w:val="006811C5"/>
    <w:rsid w:val="00682B2E"/>
    <w:rsid w:val="0068373A"/>
    <w:rsid w:val="006837F8"/>
    <w:rsid w:val="00684823"/>
    <w:rsid w:val="00684F27"/>
    <w:rsid w:val="0068622B"/>
    <w:rsid w:val="00686B82"/>
    <w:rsid w:val="00687C8A"/>
    <w:rsid w:val="006902EB"/>
    <w:rsid w:val="0069071C"/>
    <w:rsid w:val="00691616"/>
    <w:rsid w:val="00691D6A"/>
    <w:rsid w:val="006934B3"/>
    <w:rsid w:val="00693925"/>
    <w:rsid w:val="00693963"/>
    <w:rsid w:val="00693A94"/>
    <w:rsid w:val="006941C3"/>
    <w:rsid w:val="00694422"/>
    <w:rsid w:val="00694AF9"/>
    <w:rsid w:val="00696374"/>
    <w:rsid w:val="00696439"/>
    <w:rsid w:val="0069672C"/>
    <w:rsid w:val="00696A08"/>
    <w:rsid w:val="00696E33"/>
    <w:rsid w:val="00697B5E"/>
    <w:rsid w:val="00697ED4"/>
    <w:rsid w:val="006A1885"/>
    <w:rsid w:val="006A202C"/>
    <w:rsid w:val="006A3C99"/>
    <w:rsid w:val="006A4105"/>
    <w:rsid w:val="006A44BC"/>
    <w:rsid w:val="006A487D"/>
    <w:rsid w:val="006A4894"/>
    <w:rsid w:val="006A4D56"/>
    <w:rsid w:val="006A5A84"/>
    <w:rsid w:val="006A5E3E"/>
    <w:rsid w:val="006A63C3"/>
    <w:rsid w:val="006A69B2"/>
    <w:rsid w:val="006A72F2"/>
    <w:rsid w:val="006B0067"/>
    <w:rsid w:val="006B0366"/>
    <w:rsid w:val="006B08F7"/>
    <w:rsid w:val="006B0C66"/>
    <w:rsid w:val="006B1AC2"/>
    <w:rsid w:val="006B2465"/>
    <w:rsid w:val="006B3A90"/>
    <w:rsid w:val="006B3F26"/>
    <w:rsid w:val="006B431B"/>
    <w:rsid w:val="006B4FF0"/>
    <w:rsid w:val="006B54E2"/>
    <w:rsid w:val="006B6232"/>
    <w:rsid w:val="006B644E"/>
    <w:rsid w:val="006B7288"/>
    <w:rsid w:val="006B7C45"/>
    <w:rsid w:val="006C0D32"/>
    <w:rsid w:val="006C0F3B"/>
    <w:rsid w:val="006C1181"/>
    <w:rsid w:val="006C17F7"/>
    <w:rsid w:val="006C1ADA"/>
    <w:rsid w:val="006C1B7E"/>
    <w:rsid w:val="006C25E1"/>
    <w:rsid w:val="006C2A56"/>
    <w:rsid w:val="006C2DA7"/>
    <w:rsid w:val="006C31A2"/>
    <w:rsid w:val="006C336C"/>
    <w:rsid w:val="006C4E39"/>
    <w:rsid w:val="006C5038"/>
    <w:rsid w:val="006C5A8D"/>
    <w:rsid w:val="006C6FA6"/>
    <w:rsid w:val="006C7121"/>
    <w:rsid w:val="006C7873"/>
    <w:rsid w:val="006C79FA"/>
    <w:rsid w:val="006D006A"/>
    <w:rsid w:val="006D041E"/>
    <w:rsid w:val="006D069A"/>
    <w:rsid w:val="006D07BD"/>
    <w:rsid w:val="006D0FC3"/>
    <w:rsid w:val="006D1BA6"/>
    <w:rsid w:val="006D21A8"/>
    <w:rsid w:val="006D24AC"/>
    <w:rsid w:val="006D2F5C"/>
    <w:rsid w:val="006D36A9"/>
    <w:rsid w:val="006D371F"/>
    <w:rsid w:val="006D3DE1"/>
    <w:rsid w:val="006D42C4"/>
    <w:rsid w:val="006D45C4"/>
    <w:rsid w:val="006D56E6"/>
    <w:rsid w:val="006D5BA3"/>
    <w:rsid w:val="006D69F8"/>
    <w:rsid w:val="006D6D08"/>
    <w:rsid w:val="006D6E64"/>
    <w:rsid w:val="006D7BE0"/>
    <w:rsid w:val="006E0061"/>
    <w:rsid w:val="006E00AF"/>
    <w:rsid w:val="006E0320"/>
    <w:rsid w:val="006E04E1"/>
    <w:rsid w:val="006E16B2"/>
    <w:rsid w:val="006E2A4B"/>
    <w:rsid w:val="006E315F"/>
    <w:rsid w:val="006E393C"/>
    <w:rsid w:val="006E4D5A"/>
    <w:rsid w:val="006E5D58"/>
    <w:rsid w:val="006E6635"/>
    <w:rsid w:val="006E74AF"/>
    <w:rsid w:val="006E7C74"/>
    <w:rsid w:val="006E7D63"/>
    <w:rsid w:val="006F0662"/>
    <w:rsid w:val="006F09AD"/>
    <w:rsid w:val="006F0DB1"/>
    <w:rsid w:val="006F176D"/>
    <w:rsid w:val="006F1CC8"/>
    <w:rsid w:val="006F3085"/>
    <w:rsid w:val="006F32A0"/>
    <w:rsid w:val="006F32C9"/>
    <w:rsid w:val="006F42E7"/>
    <w:rsid w:val="006F55EF"/>
    <w:rsid w:val="006F67F9"/>
    <w:rsid w:val="006F73E7"/>
    <w:rsid w:val="006F778C"/>
    <w:rsid w:val="006F79A4"/>
    <w:rsid w:val="0070001E"/>
    <w:rsid w:val="0070038D"/>
    <w:rsid w:val="00700409"/>
    <w:rsid w:val="00700764"/>
    <w:rsid w:val="007007A4"/>
    <w:rsid w:val="00702427"/>
    <w:rsid w:val="007024D9"/>
    <w:rsid w:val="00703B48"/>
    <w:rsid w:val="00703CC6"/>
    <w:rsid w:val="007040A8"/>
    <w:rsid w:val="00704E79"/>
    <w:rsid w:val="00704F26"/>
    <w:rsid w:val="00705024"/>
    <w:rsid w:val="00705129"/>
    <w:rsid w:val="00705DBB"/>
    <w:rsid w:val="007066C3"/>
    <w:rsid w:val="007066FD"/>
    <w:rsid w:val="007108F1"/>
    <w:rsid w:val="007114EA"/>
    <w:rsid w:val="00711770"/>
    <w:rsid w:val="00711D76"/>
    <w:rsid w:val="0071257F"/>
    <w:rsid w:val="00712A86"/>
    <w:rsid w:val="007130E0"/>
    <w:rsid w:val="00713451"/>
    <w:rsid w:val="007139B3"/>
    <w:rsid w:val="00713F7C"/>
    <w:rsid w:val="007143E0"/>
    <w:rsid w:val="0071508F"/>
    <w:rsid w:val="00715EB5"/>
    <w:rsid w:val="00716111"/>
    <w:rsid w:val="00717F96"/>
    <w:rsid w:val="007209C1"/>
    <w:rsid w:val="00720D9C"/>
    <w:rsid w:val="007218B7"/>
    <w:rsid w:val="007218CB"/>
    <w:rsid w:val="00722019"/>
    <w:rsid w:val="007225FD"/>
    <w:rsid w:val="00722E00"/>
    <w:rsid w:val="0072374A"/>
    <w:rsid w:val="0072424B"/>
    <w:rsid w:val="00724D48"/>
    <w:rsid w:val="00725EA4"/>
    <w:rsid w:val="007260AB"/>
    <w:rsid w:val="007263AF"/>
    <w:rsid w:val="00726EB1"/>
    <w:rsid w:val="007272B9"/>
    <w:rsid w:val="0072767C"/>
    <w:rsid w:val="00730886"/>
    <w:rsid w:val="007314EB"/>
    <w:rsid w:val="007316C0"/>
    <w:rsid w:val="0073219D"/>
    <w:rsid w:val="00732A1C"/>
    <w:rsid w:val="00732DAF"/>
    <w:rsid w:val="0073330E"/>
    <w:rsid w:val="0073376A"/>
    <w:rsid w:val="007337DE"/>
    <w:rsid w:val="0073395E"/>
    <w:rsid w:val="00734153"/>
    <w:rsid w:val="0073481B"/>
    <w:rsid w:val="00736527"/>
    <w:rsid w:val="00740082"/>
    <w:rsid w:val="00740C41"/>
    <w:rsid w:val="007414BC"/>
    <w:rsid w:val="00742499"/>
    <w:rsid w:val="00742533"/>
    <w:rsid w:val="0074291C"/>
    <w:rsid w:val="007433C0"/>
    <w:rsid w:val="007434AE"/>
    <w:rsid w:val="00743E8A"/>
    <w:rsid w:val="00744066"/>
    <w:rsid w:val="0074558D"/>
    <w:rsid w:val="00745AB5"/>
    <w:rsid w:val="00745D7D"/>
    <w:rsid w:val="0074674A"/>
    <w:rsid w:val="007468B5"/>
    <w:rsid w:val="00746ABF"/>
    <w:rsid w:val="0074721C"/>
    <w:rsid w:val="0075029B"/>
    <w:rsid w:val="00750725"/>
    <w:rsid w:val="007508E7"/>
    <w:rsid w:val="00750DA9"/>
    <w:rsid w:val="007513BA"/>
    <w:rsid w:val="00751ADD"/>
    <w:rsid w:val="00752442"/>
    <w:rsid w:val="00752A3E"/>
    <w:rsid w:val="007538B9"/>
    <w:rsid w:val="00753A3F"/>
    <w:rsid w:val="00753AC2"/>
    <w:rsid w:val="007548A9"/>
    <w:rsid w:val="007559A1"/>
    <w:rsid w:val="0075717A"/>
    <w:rsid w:val="00757ADE"/>
    <w:rsid w:val="007605E4"/>
    <w:rsid w:val="0076066A"/>
    <w:rsid w:val="00760B82"/>
    <w:rsid w:val="00761163"/>
    <w:rsid w:val="0076167D"/>
    <w:rsid w:val="00761BB8"/>
    <w:rsid w:val="00762B28"/>
    <w:rsid w:val="00763049"/>
    <w:rsid w:val="0076379E"/>
    <w:rsid w:val="00763A90"/>
    <w:rsid w:val="007647FA"/>
    <w:rsid w:val="00764EE6"/>
    <w:rsid w:val="00766193"/>
    <w:rsid w:val="007666DD"/>
    <w:rsid w:val="007669E3"/>
    <w:rsid w:val="00767125"/>
    <w:rsid w:val="00767867"/>
    <w:rsid w:val="00767CFC"/>
    <w:rsid w:val="00770BB9"/>
    <w:rsid w:val="007713C8"/>
    <w:rsid w:val="007716E7"/>
    <w:rsid w:val="007718CF"/>
    <w:rsid w:val="0077196D"/>
    <w:rsid w:val="007729AD"/>
    <w:rsid w:val="00772C00"/>
    <w:rsid w:val="007735C1"/>
    <w:rsid w:val="00773E59"/>
    <w:rsid w:val="0077479B"/>
    <w:rsid w:val="00774F27"/>
    <w:rsid w:val="007750C7"/>
    <w:rsid w:val="00775347"/>
    <w:rsid w:val="00776209"/>
    <w:rsid w:val="00776214"/>
    <w:rsid w:val="00776350"/>
    <w:rsid w:val="0077643D"/>
    <w:rsid w:val="00776930"/>
    <w:rsid w:val="0077705D"/>
    <w:rsid w:val="00780333"/>
    <w:rsid w:val="00780AAB"/>
    <w:rsid w:val="0078179E"/>
    <w:rsid w:val="00781801"/>
    <w:rsid w:val="00782090"/>
    <w:rsid w:val="00783E61"/>
    <w:rsid w:val="0078419E"/>
    <w:rsid w:val="007841AD"/>
    <w:rsid w:val="0078431C"/>
    <w:rsid w:val="00784A80"/>
    <w:rsid w:val="00784C3D"/>
    <w:rsid w:val="00785256"/>
    <w:rsid w:val="00785F42"/>
    <w:rsid w:val="00786515"/>
    <w:rsid w:val="00786C3B"/>
    <w:rsid w:val="0078793A"/>
    <w:rsid w:val="00787A12"/>
    <w:rsid w:val="0079039F"/>
    <w:rsid w:val="0079057E"/>
    <w:rsid w:val="00790653"/>
    <w:rsid w:val="0079097E"/>
    <w:rsid w:val="00790A72"/>
    <w:rsid w:val="00790D7C"/>
    <w:rsid w:val="00793D7D"/>
    <w:rsid w:val="00794CBF"/>
    <w:rsid w:val="00796AB0"/>
    <w:rsid w:val="00796B85"/>
    <w:rsid w:val="00796D1A"/>
    <w:rsid w:val="0079782F"/>
    <w:rsid w:val="007A0167"/>
    <w:rsid w:val="007A09B9"/>
    <w:rsid w:val="007A0B30"/>
    <w:rsid w:val="007A0D55"/>
    <w:rsid w:val="007A0DC1"/>
    <w:rsid w:val="007A1A17"/>
    <w:rsid w:val="007A2190"/>
    <w:rsid w:val="007A3024"/>
    <w:rsid w:val="007A3471"/>
    <w:rsid w:val="007A3913"/>
    <w:rsid w:val="007A420C"/>
    <w:rsid w:val="007A48B8"/>
    <w:rsid w:val="007A4D65"/>
    <w:rsid w:val="007A5084"/>
    <w:rsid w:val="007A534E"/>
    <w:rsid w:val="007A5AC4"/>
    <w:rsid w:val="007A60E0"/>
    <w:rsid w:val="007A61BD"/>
    <w:rsid w:val="007A61D8"/>
    <w:rsid w:val="007A62E3"/>
    <w:rsid w:val="007A68FF"/>
    <w:rsid w:val="007A7520"/>
    <w:rsid w:val="007A7C7F"/>
    <w:rsid w:val="007A7D57"/>
    <w:rsid w:val="007B103B"/>
    <w:rsid w:val="007B17D8"/>
    <w:rsid w:val="007B1A33"/>
    <w:rsid w:val="007B1A7A"/>
    <w:rsid w:val="007B2799"/>
    <w:rsid w:val="007B359D"/>
    <w:rsid w:val="007B3D5B"/>
    <w:rsid w:val="007B3EDF"/>
    <w:rsid w:val="007B480B"/>
    <w:rsid w:val="007B4815"/>
    <w:rsid w:val="007B4B5E"/>
    <w:rsid w:val="007B5656"/>
    <w:rsid w:val="007B5991"/>
    <w:rsid w:val="007B7D21"/>
    <w:rsid w:val="007B7F3B"/>
    <w:rsid w:val="007C039F"/>
    <w:rsid w:val="007C0ACA"/>
    <w:rsid w:val="007C0AF6"/>
    <w:rsid w:val="007C0D3B"/>
    <w:rsid w:val="007C1CF0"/>
    <w:rsid w:val="007C233C"/>
    <w:rsid w:val="007C2417"/>
    <w:rsid w:val="007C2C28"/>
    <w:rsid w:val="007C32B3"/>
    <w:rsid w:val="007C3FAA"/>
    <w:rsid w:val="007C4E98"/>
    <w:rsid w:val="007C4F70"/>
    <w:rsid w:val="007C5792"/>
    <w:rsid w:val="007C6AFF"/>
    <w:rsid w:val="007C70B3"/>
    <w:rsid w:val="007C75B7"/>
    <w:rsid w:val="007C77B4"/>
    <w:rsid w:val="007C7B0B"/>
    <w:rsid w:val="007D1108"/>
    <w:rsid w:val="007D19EE"/>
    <w:rsid w:val="007D1F98"/>
    <w:rsid w:val="007D2D16"/>
    <w:rsid w:val="007D3173"/>
    <w:rsid w:val="007D37E6"/>
    <w:rsid w:val="007D3DF4"/>
    <w:rsid w:val="007D498D"/>
    <w:rsid w:val="007D4A82"/>
    <w:rsid w:val="007D58D6"/>
    <w:rsid w:val="007D5CFC"/>
    <w:rsid w:val="007D6902"/>
    <w:rsid w:val="007D759C"/>
    <w:rsid w:val="007D7AFF"/>
    <w:rsid w:val="007D7BF0"/>
    <w:rsid w:val="007E0305"/>
    <w:rsid w:val="007E0593"/>
    <w:rsid w:val="007E065D"/>
    <w:rsid w:val="007E07FC"/>
    <w:rsid w:val="007E0BDE"/>
    <w:rsid w:val="007E0C6F"/>
    <w:rsid w:val="007E16B0"/>
    <w:rsid w:val="007E16E2"/>
    <w:rsid w:val="007E1751"/>
    <w:rsid w:val="007E19BF"/>
    <w:rsid w:val="007E1A5F"/>
    <w:rsid w:val="007E1B1D"/>
    <w:rsid w:val="007E2044"/>
    <w:rsid w:val="007E20E3"/>
    <w:rsid w:val="007E26FC"/>
    <w:rsid w:val="007E273A"/>
    <w:rsid w:val="007E2887"/>
    <w:rsid w:val="007E349D"/>
    <w:rsid w:val="007E3F51"/>
    <w:rsid w:val="007E40EF"/>
    <w:rsid w:val="007E46BF"/>
    <w:rsid w:val="007E4742"/>
    <w:rsid w:val="007E5936"/>
    <w:rsid w:val="007E5D5E"/>
    <w:rsid w:val="007E5E19"/>
    <w:rsid w:val="007E601D"/>
    <w:rsid w:val="007E6061"/>
    <w:rsid w:val="007E7EE5"/>
    <w:rsid w:val="007F00D6"/>
    <w:rsid w:val="007F15D3"/>
    <w:rsid w:val="007F19C6"/>
    <w:rsid w:val="007F23A1"/>
    <w:rsid w:val="007F2C10"/>
    <w:rsid w:val="007F4E95"/>
    <w:rsid w:val="007F4EF3"/>
    <w:rsid w:val="007F4F63"/>
    <w:rsid w:val="007F4F8D"/>
    <w:rsid w:val="007F5EC9"/>
    <w:rsid w:val="007F60B4"/>
    <w:rsid w:val="007F631E"/>
    <w:rsid w:val="007F7635"/>
    <w:rsid w:val="007F772D"/>
    <w:rsid w:val="007F7EC9"/>
    <w:rsid w:val="0080190E"/>
    <w:rsid w:val="008024C5"/>
    <w:rsid w:val="00802721"/>
    <w:rsid w:val="0080298E"/>
    <w:rsid w:val="008034F8"/>
    <w:rsid w:val="008039D6"/>
    <w:rsid w:val="00804180"/>
    <w:rsid w:val="00805119"/>
    <w:rsid w:val="0080626F"/>
    <w:rsid w:val="00807375"/>
    <w:rsid w:val="00807834"/>
    <w:rsid w:val="00807D78"/>
    <w:rsid w:val="0081015F"/>
    <w:rsid w:val="008106A9"/>
    <w:rsid w:val="00811470"/>
    <w:rsid w:val="008117C9"/>
    <w:rsid w:val="0081202D"/>
    <w:rsid w:val="00812134"/>
    <w:rsid w:val="0081252E"/>
    <w:rsid w:val="00813DB6"/>
    <w:rsid w:val="00813E90"/>
    <w:rsid w:val="00814242"/>
    <w:rsid w:val="0081472F"/>
    <w:rsid w:val="00814B8D"/>
    <w:rsid w:val="00815522"/>
    <w:rsid w:val="00815EB4"/>
    <w:rsid w:val="00816154"/>
    <w:rsid w:val="00816A37"/>
    <w:rsid w:val="00816A61"/>
    <w:rsid w:val="00816A97"/>
    <w:rsid w:val="008171D7"/>
    <w:rsid w:val="0081767C"/>
    <w:rsid w:val="00820538"/>
    <w:rsid w:val="00821105"/>
    <w:rsid w:val="00822276"/>
    <w:rsid w:val="008230B2"/>
    <w:rsid w:val="00823198"/>
    <w:rsid w:val="008246AF"/>
    <w:rsid w:val="008257ED"/>
    <w:rsid w:val="00825E7F"/>
    <w:rsid w:val="00827B21"/>
    <w:rsid w:val="00830335"/>
    <w:rsid w:val="00830EFA"/>
    <w:rsid w:val="00832525"/>
    <w:rsid w:val="00832777"/>
    <w:rsid w:val="00833562"/>
    <w:rsid w:val="008339A4"/>
    <w:rsid w:val="00833E2F"/>
    <w:rsid w:val="00834128"/>
    <w:rsid w:val="00834E7C"/>
    <w:rsid w:val="008356CD"/>
    <w:rsid w:val="0083614B"/>
    <w:rsid w:val="00836DF6"/>
    <w:rsid w:val="008371DC"/>
    <w:rsid w:val="0084081D"/>
    <w:rsid w:val="00841254"/>
    <w:rsid w:val="00842B16"/>
    <w:rsid w:val="00842B50"/>
    <w:rsid w:val="00843056"/>
    <w:rsid w:val="00843641"/>
    <w:rsid w:val="0084384D"/>
    <w:rsid w:val="00844243"/>
    <w:rsid w:val="0084538A"/>
    <w:rsid w:val="00846234"/>
    <w:rsid w:val="00846CF4"/>
    <w:rsid w:val="00847DC1"/>
    <w:rsid w:val="008505D1"/>
    <w:rsid w:val="00851221"/>
    <w:rsid w:val="00851EC2"/>
    <w:rsid w:val="008522A1"/>
    <w:rsid w:val="0085270A"/>
    <w:rsid w:val="00852B5A"/>
    <w:rsid w:val="008535B8"/>
    <w:rsid w:val="00853898"/>
    <w:rsid w:val="0085506E"/>
    <w:rsid w:val="00855492"/>
    <w:rsid w:val="00855A2F"/>
    <w:rsid w:val="008565C4"/>
    <w:rsid w:val="00856B81"/>
    <w:rsid w:val="00857C1C"/>
    <w:rsid w:val="0086155F"/>
    <w:rsid w:val="008617DC"/>
    <w:rsid w:val="00861B14"/>
    <w:rsid w:val="00861B4A"/>
    <w:rsid w:val="00861D5F"/>
    <w:rsid w:val="00861F8C"/>
    <w:rsid w:val="00862240"/>
    <w:rsid w:val="008633C9"/>
    <w:rsid w:val="0086416C"/>
    <w:rsid w:val="008657ED"/>
    <w:rsid w:val="00866D1E"/>
    <w:rsid w:val="00871217"/>
    <w:rsid w:val="00871568"/>
    <w:rsid w:val="008718BC"/>
    <w:rsid w:val="00871D6C"/>
    <w:rsid w:val="00871EF8"/>
    <w:rsid w:val="00872673"/>
    <w:rsid w:val="00872BF0"/>
    <w:rsid w:val="0087320B"/>
    <w:rsid w:val="0087472C"/>
    <w:rsid w:val="00874FEB"/>
    <w:rsid w:val="008755CF"/>
    <w:rsid w:val="0087561D"/>
    <w:rsid w:val="00875946"/>
    <w:rsid w:val="00876279"/>
    <w:rsid w:val="00876455"/>
    <w:rsid w:val="008770DB"/>
    <w:rsid w:val="00877314"/>
    <w:rsid w:val="0087776B"/>
    <w:rsid w:val="00877E5A"/>
    <w:rsid w:val="008828BB"/>
    <w:rsid w:val="00882EA5"/>
    <w:rsid w:val="00883005"/>
    <w:rsid w:val="00883546"/>
    <w:rsid w:val="00883F83"/>
    <w:rsid w:val="00884EB2"/>
    <w:rsid w:val="0088535C"/>
    <w:rsid w:val="0088572B"/>
    <w:rsid w:val="00886106"/>
    <w:rsid w:val="00886133"/>
    <w:rsid w:val="00886B47"/>
    <w:rsid w:val="00887B1B"/>
    <w:rsid w:val="00887DC3"/>
    <w:rsid w:val="0089040A"/>
    <w:rsid w:val="008914C6"/>
    <w:rsid w:val="0089243C"/>
    <w:rsid w:val="00892C97"/>
    <w:rsid w:val="008931A6"/>
    <w:rsid w:val="00893559"/>
    <w:rsid w:val="008937FB"/>
    <w:rsid w:val="00893D98"/>
    <w:rsid w:val="008940D2"/>
    <w:rsid w:val="008950DA"/>
    <w:rsid w:val="008951A7"/>
    <w:rsid w:val="00895244"/>
    <w:rsid w:val="00895587"/>
    <w:rsid w:val="008957E4"/>
    <w:rsid w:val="00895E6F"/>
    <w:rsid w:val="008964DE"/>
    <w:rsid w:val="00896F43"/>
    <w:rsid w:val="00897085"/>
    <w:rsid w:val="008A1186"/>
    <w:rsid w:val="008A1435"/>
    <w:rsid w:val="008A214A"/>
    <w:rsid w:val="008A263F"/>
    <w:rsid w:val="008A2F20"/>
    <w:rsid w:val="008A3243"/>
    <w:rsid w:val="008A39D5"/>
    <w:rsid w:val="008A3AF7"/>
    <w:rsid w:val="008A4061"/>
    <w:rsid w:val="008A43FC"/>
    <w:rsid w:val="008A4EBF"/>
    <w:rsid w:val="008A5284"/>
    <w:rsid w:val="008A56DD"/>
    <w:rsid w:val="008A6C61"/>
    <w:rsid w:val="008B01B9"/>
    <w:rsid w:val="008B034E"/>
    <w:rsid w:val="008B034F"/>
    <w:rsid w:val="008B07AA"/>
    <w:rsid w:val="008B1039"/>
    <w:rsid w:val="008B108B"/>
    <w:rsid w:val="008B275C"/>
    <w:rsid w:val="008B38D6"/>
    <w:rsid w:val="008B3DE2"/>
    <w:rsid w:val="008B4BA2"/>
    <w:rsid w:val="008B555F"/>
    <w:rsid w:val="008B57F8"/>
    <w:rsid w:val="008B5D19"/>
    <w:rsid w:val="008B687B"/>
    <w:rsid w:val="008C176C"/>
    <w:rsid w:val="008C1D19"/>
    <w:rsid w:val="008C1D81"/>
    <w:rsid w:val="008C23C0"/>
    <w:rsid w:val="008C2ACF"/>
    <w:rsid w:val="008C31BB"/>
    <w:rsid w:val="008C3A63"/>
    <w:rsid w:val="008C4182"/>
    <w:rsid w:val="008C6300"/>
    <w:rsid w:val="008C71EA"/>
    <w:rsid w:val="008C78B9"/>
    <w:rsid w:val="008D042D"/>
    <w:rsid w:val="008D0B98"/>
    <w:rsid w:val="008D1309"/>
    <w:rsid w:val="008D2ED4"/>
    <w:rsid w:val="008D3366"/>
    <w:rsid w:val="008D3509"/>
    <w:rsid w:val="008D48FC"/>
    <w:rsid w:val="008D5677"/>
    <w:rsid w:val="008D6238"/>
    <w:rsid w:val="008D6EA1"/>
    <w:rsid w:val="008D7781"/>
    <w:rsid w:val="008E0319"/>
    <w:rsid w:val="008E04BF"/>
    <w:rsid w:val="008E13DF"/>
    <w:rsid w:val="008E1469"/>
    <w:rsid w:val="008E1788"/>
    <w:rsid w:val="008E183F"/>
    <w:rsid w:val="008E2C6A"/>
    <w:rsid w:val="008E2C8B"/>
    <w:rsid w:val="008E358B"/>
    <w:rsid w:val="008E3606"/>
    <w:rsid w:val="008E3F69"/>
    <w:rsid w:val="008E40B2"/>
    <w:rsid w:val="008E45F3"/>
    <w:rsid w:val="008E52C3"/>
    <w:rsid w:val="008E5421"/>
    <w:rsid w:val="008E59C0"/>
    <w:rsid w:val="008E791F"/>
    <w:rsid w:val="008F01C7"/>
    <w:rsid w:val="008F04C0"/>
    <w:rsid w:val="008F1BBE"/>
    <w:rsid w:val="008F2C16"/>
    <w:rsid w:val="008F2FAD"/>
    <w:rsid w:val="008F3087"/>
    <w:rsid w:val="008F34D2"/>
    <w:rsid w:val="008F3FB6"/>
    <w:rsid w:val="008F424B"/>
    <w:rsid w:val="008F4ED6"/>
    <w:rsid w:val="008F561B"/>
    <w:rsid w:val="008F6C7F"/>
    <w:rsid w:val="008F6EA0"/>
    <w:rsid w:val="008F758A"/>
    <w:rsid w:val="009008EF"/>
    <w:rsid w:val="00900E6B"/>
    <w:rsid w:val="009025A2"/>
    <w:rsid w:val="00902966"/>
    <w:rsid w:val="00904577"/>
    <w:rsid w:val="00904DBF"/>
    <w:rsid w:val="009062BB"/>
    <w:rsid w:val="009067C4"/>
    <w:rsid w:val="0090689B"/>
    <w:rsid w:val="00910328"/>
    <w:rsid w:val="00910500"/>
    <w:rsid w:val="00910D6A"/>
    <w:rsid w:val="00910FB4"/>
    <w:rsid w:val="009116C1"/>
    <w:rsid w:val="009122DE"/>
    <w:rsid w:val="0091320B"/>
    <w:rsid w:val="00914089"/>
    <w:rsid w:val="009140E2"/>
    <w:rsid w:val="009144DC"/>
    <w:rsid w:val="00914E17"/>
    <w:rsid w:val="009156D9"/>
    <w:rsid w:val="009159EF"/>
    <w:rsid w:val="00916BE1"/>
    <w:rsid w:val="00917273"/>
    <w:rsid w:val="00917808"/>
    <w:rsid w:val="0091784E"/>
    <w:rsid w:val="009207C1"/>
    <w:rsid w:val="00920CAA"/>
    <w:rsid w:val="00921E7B"/>
    <w:rsid w:val="00921F73"/>
    <w:rsid w:val="00922F7A"/>
    <w:rsid w:val="00923851"/>
    <w:rsid w:val="00923FB0"/>
    <w:rsid w:val="009242A1"/>
    <w:rsid w:val="00926449"/>
    <w:rsid w:val="009267A9"/>
    <w:rsid w:val="0092745B"/>
    <w:rsid w:val="0092757E"/>
    <w:rsid w:val="00927B02"/>
    <w:rsid w:val="0093002E"/>
    <w:rsid w:val="009311F3"/>
    <w:rsid w:val="009314F6"/>
    <w:rsid w:val="00932286"/>
    <w:rsid w:val="009324A1"/>
    <w:rsid w:val="00932624"/>
    <w:rsid w:val="009331CB"/>
    <w:rsid w:val="009335E3"/>
    <w:rsid w:val="00933F5D"/>
    <w:rsid w:val="0093484C"/>
    <w:rsid w:val="00935135"/>
    <w:rsid w:val="00936D95"/>
    <w:rsid w:val="0093730A"/>
    <w:rsid w:val="009408E6"/>
    <w:rsid w:val="00940959"/>
    <w:rsid w:val="00940EA1"/>
    <w:rsid w:val="0094124B"/>
    <w:rsid w:val="00941F70"/>
    <w:rsid w:val="009427D7"/>
    <w:rsid w:val="00942BB2"/>
    <w:rsid w:val="00943056"/>
    <w:rsid w:val="0094308B"/>
    <w:rsid w:val="009430BB"/>
    <w:rsid w:val="0094388C"/>
    <w:rsid w:val="009439F9"/>
    <w:rsid w:val="00943B6D"/>
    <w:rsid w:val="00944525"/>
    <w:rsid w:val="009446BE"/>
    <w:rsid w:val="0094513F"/>
    <w:rsid w:val="00945F5A"/>
    <w:rsid w:val="00946ADF"/>
    <w:rsid w:val="00947899"/>
    <w:rsid w:val="00947ACD"/>
    <w:rsid w:val="00950FA6"/>
    <w:rsid w:val="0095110B"/>
    <w:rsid w:val="00952374"/>
    <w:rsid w:val="00953C2F"/>
    <w:rsid w:val="009548E1"/>
    <w:rsid w:val="00954BD3"/>
    <w:rsid w:val="00954CEE"/>
    <w:rsid w:val="009567E4"/>
    <w:rsid w:val="009575BA"/>
    <w:rsid w:val="009576B3"/>
    <w:rsid w:val="009602C5"/>
    <w:rsid w:val="00960401"/>
    <w:rsid w:val="009606FA"/>
    <w:rsid w:val="0096098E"/>
    <w:rsid w:val="00960FA3"/>
    <w:rsid w:val="009613EE"/>
    <w:rsid w:val="00961DBA"/>
    <w:rsid w:val="00961E29"/>
    <w:rsid w:val="0096308D"/>
    <w:rsid w:val="00963BAE"/>
    <w:rsid w:val="009642E3"/>
    <w:rsid w:val="00964E89"/>
    <w:rsid w:val="0096557B"/>
    <w:rsid w:val="009657C5"/>
    <w:rsid w:val="00965F3E"/>
    <w:rsid w:val="00966504"/>
    <w:rsid w:val="009668E1"/>
    <w:rsid w:val="009718DE"/>
    <w:rsid w:val="00971D30"/>
    <w:rsid w:val="00971DE3"/>
    <w:rsid w:val="00971FF4"/>
    <w:rsid w:val="00972050"/>
    <w:rsid w:val="009722CD"/>
    <w:rsid w:val="009725C9"/>
    <w:rsid w:val="009728ED"/>
    <w:rsid w:val="0097341A"/>
    <w:rsid w:val="0097364D"/>
    <w:rsid w:val="0097377D"/>
    <w:rsid w:val="00973E0D"/>
    <w:rsid w:val="0097430F"/>
    <w:rsid w:val="00974C63"/>
    <w:rsid w:val="00975AED"/>
    <w:rsid w:val="00975C10"/>
    <w:rsid w:val="00975C4D"/>
    <w:rsid w:val="00975D5D"/>
    <w:rsid w:val="00975EE5"/>
    <w:rsid w:val="009774A0"/>
    <w:rsid w:val="00981096"/>
    <w:rsid w:val="009810DD"/>
    <w:rsid w:val="00981119"/>
    <w:rsid w:val="00981A57"/>
    <w:rsid w:val="00982232"/>
    <w:rsid w:val="0098277A"/>
    <w:rsid w:val="0098384F"/>
    <w:rsid w:val="00983B5D"/>
    <w:rsid w:val="00984CA2"/>
    <w:rsid w:val="00984D55"/>
    <w:rsid w:val="0098510D"/>
    <w:rsid w:val="00985759"/>
    <w:rsid w:val="00985957"/>
    <w:rsid w:val="00986617"/>
    <w:rsid w:val="0098663B"/>
    <w:rsid w:val="00986B3B"/>
    <w:rsid w:val="00986F04"/>
    <w:rsid w:val="00986F43"/>
    <w:rsid w:val="00987387"/>
    <w:rsid w:val="009873CF"/>
    <w:rsid w:val="00987D57"/>
    <w:rsid w:val="00990AF2"/>
    <w:rsid w:val="00991184"/>
    <w:rsid w:val="0099146C"/>
    <w:rsid w:val="00991D7A"/>
    <w:rsid w:val="009926BF"/>
    <w:rsid w:val="0099292A"/>
    <w:rsid w:val="00993C3C"/>
    <w:rsid w:val="009943D2"/>
    <w:rsid w:val="009947E9"/>
    <w:rsid w:val="00994D5D"/>
    <w:rsid w:val="009976DB"/>
    <w:rsid w:val="009A0F62"/>
    <w:rsid w:val="009A1973"/>
    <w:rsid w:val="009A1FF0"/>
    <w:rsid w:val="009A2109"/>
    <w:rsid w:val="009A24AC"/>
    <w:rsid w:val="009A2DBF"/>
    <w:rsid w:val="009A37CD"/>
    <w:rsid w:val="009A3DA7"/>
    <w:rsid w:val="009A4E8A"/>
    <w:rsid w:val="009A50D6"/>
    <w:rsid w:val="009A5A6B"/>
    <w:rsid w:val="009A5DDA"/>
    <w:rsid w:val="009A64CD"/>
    <w:rsid w:val="009B0AC4"/>
    <w:rsid w:val="009B43A7"/>
    <w:rsid w:val="009B481F"/>
    <w:rsid w:val="009B4C72"/>
    <w:rsid w:val="009B51BC"/>
    <w:rsid w:val="009B543C"/>
    <w:rsid w:val="009B5A85"/>
    <w:rsid w:val="009B6321"/>
    <w:rsid w:val="009B6356"/>
    <w:rsid w:val="009B7FE2"/>
    <w:rsid w:val="009C09AB"/>
    <w:rsid w:val="009C0C99"/>
    <w:rsid w:val="009C1392"/>
    <w:rsid w:val="009C2184"/>
    <w:rsid w:val="009C26CC"/>
    <w:rsid w:val="009C422C"/>
    <w:rsid w:val="009C53FC"/>
    <w:rsid w:val="009C5C1E"/>
    <w:rsid w:val="009C6C3B"/>
    <w:rsid w:val="009C6CCC"/>
    <w:rsid w:val="009C7631"/>
    <w:rsid w:val="009C7FC3"/>
    <w:rsid w:val="009D0116"/>
    <w:rsid w:val="009D0F75"/>
    <w:rsid w:val="009D1345"/>
    <w:rsid w:val="009D155D"/>
    <w:rsid w:val="009D233D"/>
    <w:rsid w:val="009D2400"/>
    <w:rsid w:val="009D40DB"/>
    <w:rsid w:val="009D46B0"/>
    <w:rsid w:val="009D4730"/>
    <w:rsid w:val="009D5B6F"/>
    <w:rsid w:val="009D60E1"/>
    <w:rsid w:val="009D691F"/>
    <w:rsid w:val="009E1370"/>
    <w:rsid w:val="009E3048"/>
    <w:rsid w:val="009E31AB"/>
    <w:rsid w:val="009E3B6B"/>
    <w:rsid w:val="009E4C06"/>
    <w:rsid w:val="009E5398"/>
    <w:rsid w:val="009E546F"/>
    <w:rsid w:val="009E5948"/>
    <w:rsid w:val="009E5F62"/>
    <w:rsid w:val="009E64AF"/>
    <w:rsid w:val="009E661D"/>
    <w:rsid w:val="009E6C1F"/>
    <w:rsid w:val="009E7526"/>
    <w:rsid w:val="009E795D"/>
    <w:rsid w:val="009F0940"/>
    <w:rsid w:val="009F09E9"/>
    <w:rsid w:val="009F1704"/>
    <w:rsid w:val="009F1938"/>
    <w:rsid w:val="009F2C41"/>
    <w:rsid w:val="009F2F4A"/>
    <w:rsid w:val="009F311B"/>
    <w:rsid w:val="009F3603"/>
    <w:rsid w:val="009F3DC5"/>
    <w:rsid w:val="009F4D13"/>
    <w:rsid w:val="009F4DDC"/>
    <w:rsid w:val="009F4F33"/>
    <w:rsid w:val="009F593F"/>
    <w:rsid w:val="009F5CCF"/>
    <w:rsid w:val="009F6181"/>
    <w:rsid w:val="009F62FB"/>
    <w:rsid w:val="009F6B4A"/>
    <w:rsid w:val="009F71E8"/>
    <w:rsid w:val="009F7D1D"/>
    <w:rsid w:val="00A000E9"/>
    <w:rsid w:val="00A000EB"/>
    <w:rsid w:val="00A00319"/>
    <w:rsid w:val="00A003E9"/>
    <w:rsid w:val="00A0112E"/>
    <w:rsid w:val="00A01879"/>
    <w:rsid w:val="00A01C37"/>
    <w:rsid w:val="00A01FBC"/>
    <w:rsid w:val="00A023FC"/>
    <w:rsid w:val="00A029F3"/>
    <w:rsid w:val="00A02C2B"/>
    <w:rsid w:val="00A0318B"/>
    <w:rsid w:val="00A03539"/>
    <w:rsid w:val="00A0361B"/>
    <w:rsid w:val="00A0385A"/>
    <w:rsid w:val="00A03C74"/>
    <w:rsid w:val="00A03C79"/>
    <w:rsid w:val="00A0491E"/>
    <w:rsid w:val="00A04D78"/>
    <w:rsid w:val="00A0541E"/>
    <w:rsid w:val="00A05DE4"/>
    <w:rsid w:val="00A0618B"/>
    <w:rsid w:val="00A069FF"/>
    <w:rsid w:val="00A07E87"/>
    <w:rsid w:val="00A07FC5"/>
    <w:rsid w:val="00A10C25"/>
    <w:rsid w:val="00A110BB"/>
    <w:rsid w:val="00A1168E"/>
    <w:rsid w:val="00A11824"/>
    <w:rsid w:val="00A128A1"/>
    <w:rsid w:val="00A129F0"/>
    <w:rsid w:val="00A1300F"/>
    <w:rsid w:val="00A13326"/>
    <w:rsid w:val="00A1384E"/>
    <w:rsid w:val="00A14549"/>
    <w:rsid w:val="00A1495A"/>
    <w:rsid w:val="00A152D6"/>
    <w:rsid w:val="00A155E9"/>
    <w:rsid w:val="00A15E8D"/>
    <w:rsid w:val="00A163C9"/>
    <w:rsid w:val="00A16702"/>
    <w:rsid w:val="00A16A70"/>
    <w:rsid w:val="00A16A88"/>
    <w:rsid w:val="00A16B5B"/>
    <w:rsid w:val="00A17C03"/>
    <w:rsid w:val="00A21D6F"/>
    <w:rsid w:val="00A22505"/>
    <w:rsid w:val="00A2276C"/>
    <w:rsid w:val="00A22EA5"/>
    <w:rsid w:val="00A22F20"/>
    <w:rsid w:val="00A2384B"/>
    <w:rsid w:val="00A24094"/>
    <w:rsid w:val="00A242ED"/>
    <w:rsid w:val="00A24DC3"/>
    <w:rsid w:val="00A25969"/>
    <w:rsid w:val="00A25C4F"/>
    <w:rsid w:val="00A2647C"/>
    <w:rsid w:val="00A27597"/>
    <w:rsid w:val="00A27872"/>
    <w:rsid w:val="00A279D8"/>
    <w:rsid w:val="00A27FF3"/>
    <w:rsid w:val="00A300A8"/>
    <w:rsid w:val="00A3048B"/>
    <w:rsid w:val="00A30519"/>
    <w:rsid w:val="00A3086F"/>
    <w:rsid w:val="00A3145C"/>
    <w:rsid w:val="00A31A89"/>
    <w:rsid w:val="00A31C39"/>
    <w:rsid w:val="00A32F7A"/>
    <w:rsid w:val="00A3377A"/>
    <w:rsid w:val="00A34180"/>
    <w:rsid w:val="00A3427E"/>
    <w:rsid w:val="00A35991"/>
    <w:rsid w:val="00A40AEA"/>
    <w:rsid w:val="00A41E95"/>
    <w:rsid w:val="00A41F85"/>
    <w:rsid w:val="00A429BE"/>
    <w:rsid w:val="00A42DED"/>
    <w:rsid w:val="00A434B7"/>
    <w:rsid w:val="00A434BC"/>
    <w:rsid w:val="00A443BB"/>
    <w:rsid w:val="00A44D37"/>
    <w:rsid w:val="00A4516B"/>
    <w:rsid w:val="00A4526A"/>
    <w:rsid w:val="00A459BE"/>
    <w:rsid w:val="00A45BB0"/>
    <w:rsid w:val="00A46764"/>
    <w:rsid w:val="00A468F1"/>
    <w:rsid w:val="00A50874"/>
    <w:rsid w:val="00A5107C"/>
    <w:rsid w:val="00A5162B"/>
    <w:rsid w:val="00A5165D"/>
    <w:rsid w:val="00A51C06"/>
    <w:rsid w:val="00A5284A"/>
    <w:rsid w:val="00A52F05"/>
    <w:rsid w:val="00A53779"/>
    <w:rsid w:val="00A53811"/>
    <w:rsid w:val="00A538FA"/>
    <w:rsid w:val="00A5392A"/>
    <w:rsid w:val="00A5457C"/>
    <w:rsid w:val="00A5585E"/>
    <w:rsid w:val="00A55C3C"/>
    <w:rsid w:val="00A55E0D"/>
    <w:rsid w:val="00A5731A"/>
    <w:rsid w:val="00A5747C"/>
    <w:rsid w:val="00A57FD5"/>
    <w:rsid w:val="00A60138"/>
    <w:rsid w:val="00A601A9"/>
    <w:rsid w:val="00A60379"/>
    <w:rsid w:val="00A60B4C"/>
    <w:rsid w:val="00A60C7C"/>
    <w:rsid w:val="00A6156C"/>
    <w:rsid w:val="00A615A2"/>
    <w:rsid w:val="00A61D12"/>
    <w:rsid w:val="00A62028"/>
    <w:rsid w:val="00A62626"/>
    <w:rsid w:val="00A63A69"/>
    <w:rsid w:val="00A6434C"/>
    <w:rsid w:val="00A65B50"/>
    <w:rsid w:val="00A664C5"/>
    <w:rsid w:val="00A6677D"/>
    <w:rsid w:val="00A6694D"/>
    <w:rsid w:val="00A669B8"/>
    <w:rsid w:val="00A70637"/>
    <w:rsid w:val="00A72393"/>
    <w:rsid w:val="00A72B5D"/>
    <w:rsid w:val="00A73ED8"/>
    <w:rsid w:val="00A74282"/>
    <w:rsid w:val="00A744A9"/>
    <w:rsid w:val="00A74976"/>
    <w:rsid w:val="00A753D9"/>
    <w:rsid w:val="00A756B5"/>
    <w:rsid w:val="00A76793"/>
    <w:rsid w:val="00A76D9E"/>
    <w:rsid w:val="00A77BC7"/>
    <w:rsid w:val="00A77BDC"/>
    <w:rsid w:val="00A807EC"/>
    <w:rsid w:val="00A80AF3"/>
    <w:rsid w:val="00A81C47"/>
    <w:rsid w:val="00A820CF"/>
    <w:rsid w:val="00A8247A"/>
    <w:rsid w:val="00A826A3"/>
    <w:rsid w:val="00A8302E"/>
    <w:rsid w:val="00A839AA"/>
    <w:rsid w:val="00A84292"/>
    <w:rsid w:val="00A84E64"/>
    <w:rsid w:val="00A85044"/>
    <w:rsid w:val="00A85C91"/>
    <w:rsid w:val="00A8796E"/>
    <w:rsid w:val="00A87F59"/>
    <w:rsid w:val="00A90698"/>
    <w:rsid w:val="00A920B4"/>
    <w:rsid w:val="00A926E0"/>
    <w:rsid w:val="00A92DCF"/>
    <w:rsid w:val="00A92F64"/>
    <w:rsid w:val="00A93F1B"/>
    <w:rsid w:val="00A941ED"/>
    <w:rsid w:val="00A94EE8"/>
    <w:rsid w:val="00A95B04"/>
    <w:rsid w:val="00A95B4B"/>
    <w:rsid w:val="00A95CF5"/>
    <w:rsid w:val="00A95FFD"/>
    <w:rsid w:val="00A9663B"/>
    <w:rsid w:val="00A97CCA"/>
    <w:rsid w:val="00AA0AEE"/>
    <w:rsid w:val="00AA1032"/>
    <w:rsid w:val="00AA15D6"/>
    <w:rsid w:val="00AA1759"/>
    <w:rsid w:val="00AA1AFF"/>
    <w:rsid w:val="00AA1C49"/>
    <w:rsid w:val="00AA1CC7"/>
    <w:rsid w:val="00AA2F44"/>
    <w:rsid w:val="00AA30F2"/>
    <w:rsid w:val="00AA317A"/>
    <w:rsid w:val="00AA3918"/>
    <w:rsid w:val="00AA3B0C"/>
    <w:rsid w:val="00AA4243"/>
    <w:rsid w:val="00AA4C3E"/>
    <w:rsid w:val="00AA4C43"/>
    <w:rsid w:val="00AA5048"/>
    <w:rsid w:val="00AA6230"/>
    <w:rsid w:val="00AA62CA"/>
    <w:rsid w:val="00AA6312"/>
    <w:rsid w:val="00AA642A"/>
    <w:rsid w:val="00AA6A2A"/>
    <w:rsid w:val="00AA72AB"/>
    <w:rsid w:val="00AB0350"/>
    <w:rsid w:val="00AB16D9"/>
    <w:rsid w:val="00AB2C91"/>
    <w:rsid w:val="00AB2EF7"/>
    <w:rsid w:val="00AB3065"/>
    <w:rsid w:val="00AB32AD"/>
    <w:rsid w:val="00AB3855"/>
    <w:rsid w:val="00AB399E"/>
    <w:rsid w:val="00AB3A3C"/>
    <w:rsid w:val="00AB4AD4"/>
    <w:rsid w:val="00AB4BB9"/>
    <w:rsid w:val="00AB5FF9"/>
    <w:rsid w:val="00AB732E"/>
    <w:rsid w:val="00AB7A68"/>
    <w:rsid w:val="00AC0302"/>
    <w:rsid w:val="00AC07AF"/>
    <w:rsid w:val="00AC1254"/>
    <w:rsid w:val="00AC1419"/>
    <w:rsid w:val="00AC1C7D"/>
    <w:rsid w:val="00AC30AF"/>
    <w:rsid w:val="00AC5A5F"/>
    <w:rsid w:val="00AC61F3"/>
    <w:rsid w:val="00AC66F4"/>
    <w:rsid w:val="00AC7494"/>
    <w:rsid w:val="00AD0D43"/>
    <w:rsid w:val="00AD1392"/>
    <w:rsid w:val="00AD3538"/>
    <w:rsid w:val="00AD4475"/>
    <w:rsid w:val="00AD4C20"/>
    <w:rsid w:val="00AD4FCF"/>
    <w:rsid w:val="00AD55F5"/>
    <w:rsid w:val="00AD580D"/>
    <w:rsid w:val="00AD593C"/>
    <w:rsid w:val="00AD5F39"/>
    <w:rsid w:val="00AD63BB"/>
    <w:rsid w:val="00AD69D2"/>
    <w:rsid w:val="00AD74F2"/>
    <w:rsid w:val="00AD7750"/>
    <w:rsid w:val="00AD7F81"/>
    <w:rsid w:val="00AE05D4"/>
    <w:rsid w:val="00AE0A48"/>
    <w:rsid w:val="00AE135C"/>
    <w:rsid w:val="00AE179D"/>
    <w:rsid w:val="00AE183E"/>
    <w:rsid w:val="00AE1AB9"/>
    <w:rsid w:val="00AE1B75"/>
    <w:rsid w:val="00AE20AB"/>
    <w:rsid w:val="00AE2356"/>
    <w:rsid w:val="00AE262F"/>
    <w:rsid w:val="00AE26CE"/>
    <w:rsid w:val="00AE26EE"/>
    <w:rsid w:val="00AE274D"/>
    <w:rsid w:val="00AE2861"/>
    <w:rsid w:val="00AE292F"/>
    <w:rsid w:val="00AE3346"/>
    <w:rsid w:val="00AE36AA"/>
    <w:rsid w:val="00AE3987"/>
    <w:rsid w:val="00AE3A20"/>
    <w:rsid w:val="00AE4311"/>
    <w:rsid w:val="00AE436D"/>
    <w:rsid w:val="00AE43B6"/>
    <w:rsid w:val="00AE4787"/>
    <w:rsid w:val="00AE4D32"/>
    <w:rsid w:val="00AE4D96"/>
    <w:rsid w:val="00AE51E2"/>
    <w:rsid w:val="00AE531C"/>
    <w:rsid w:val="00AE5B70"/>
    <w:rsid w:val="00AE5D31"/>
    <w:rsid w:val="00AE6782"/>
    <w:rsid w:val="00AE7520"/>
    <w:rsid w:val="00AF0AD3"/>
    <w:rsid w:val="00AF0DA8"/>
    <w:rsid w:val="00AF133D"/>
    <w:rsid w:val="00AF19D9"/>
    <w:rsid w:val="00AF1BC8"/>
    <w:rsid w:val="00AF2368"/>
    <w:rsid w:val="00AF2CB3"/>
    <w:rsid w:val="00AF2D2F"/>
    <w:rsid w:val="00AF32D8"/>
    <w:rsid w:val="00AF4052"/>
    <w:rsid w:val="00AF42A8"/>
    <w:rsid w:val="00AF4651"/>
    <w:rsid w:val="00AF4ADD"/>
    <w:rsid w:val="00AF4EBA"/>
    <w:rsid w:val="00AF5056"/>
    <w:rsid w:val="00AF5754"/>
    <w:rsid w:val="00AF73AC"/>
    <w:rsid w:val="00B0020F"/>
    <w:rsid w:val="00B00400"/>
    <w:rsid w:val="00B007AE"/>
    <w:rsid w:val="00B0082A"/>
    <w:rsid w:val="00B00D03"/>
    <w:rsid w:val="00B0188C"/>
    <w:rsid w:val="00B01D33"/>
    <w:rsid w:val="00B01D91"/>
    <w:rsid w:val="00B02B70"/>
    <w:rsid w:val="00B032BA"/>
    <w:rsid w:val="00B046D8"/>
    <w:rsid w:val="00B04F05"/>
    <w:rsid w:val="00B05018"/>
    <w:rsid w:val="00B06457"/>
    <w:rsid w:val="00B06A8E"/>
    <w:rsid w:val="00B10147"/>
    <w:rsid w:val="00B10475"/>
    <w:rsid w:val="00B10DF0"/>
    <w:rsid w:val="00B11428"/>
    <w:rsid w:val="00B11D02"/>
    <w:rsid w:val="00B129A1"/>
    <w:rsid w:val="00B13228"/>
    <w:rsid w:val="00B1326F"/>
    <w:rsid w:val="00B13301"/>
    <w:rsid w:val="00B1344B"/>
    <w:rsid w:val="00B14737"/>
    <w:rsid w:val="00B1510B"/>
    <w:rsid w:val="00B1555C"/>
    <w:rsid w:val="00B15E57"/>
    <w:rsid w:val="00B17243"/>
    <w:rsid w:val="00B20208"/>
    <w:rsid w:val="00B2073A"/>
    <w:rsid w:val="00B2127B"/>
    <w:rsid w:val="00B23105"/>
    <w:rsid w:val="00B23132"/>
    <w:rsid w:val="00B23484"/>
    <w:rsid w:val="00B23C01"/>
    <w:rsid w:val="00B24719"/>
    <w:rsid w:val="00B25B6D"/>
    <w:rsid w:val="00B26893"/>
    <w:rsid w:val="00B27BD7"/>
    <w:rsid w:val="00B27C95"/>
    <w:rsid w:val="00B318BB"/>
    <w:rsid w:val="00B31E60"/>
    <w:rsid w:val="00B3268E"/>
    <w:rsid w:val="00B32905"/>
    <w:rsid w:val="00B32A3F"/>
    <w:rsid w:val="00B33182"/>
    <w:rsid w:val="00B335F5"/>
    <w:rsid w:val="00B34DDB"/>
    <w:rsid w:val="00B34DE9"/>
    <w:rsid w:val="00B3551C"/>
    <w:rsid w:val="00B367EC"/>
    <w:rsid w:val="00B37B07"/>
    <w:rsid w:val="00B37C46"/>
    <w:rsid w:val="00B4106B"/>
    <w:rsid w:val="00B41178"/>
    <w:rsid w:val="00B41D66"/>
    <w:rsid w:val="00B4255C"/>
    <w:rsid w:val="00B42C12"/>
    <w:rsid w:val="00B435E5"/>
    <w:rsid w:val="00B4410A"/>
    <w:rsid w:val="00B44BB8"/>
    <w:rsid w:val="00B4501F"/>
    <w:rsid w:val="00B45325"/>
    <w:rsid w:val="00B46556"/>
    <w:rsid w:val="00B47074"/>
    <w:rsid w:val="00B50946"/>
    <w:rsid w:val="00B50BC5"/>
    <w:rsid w:val="00B5109F"/>
    <w:rsid w:val="00B51AF0"/>
    <w:rsid w:val="00B51B1E"/>
    <w:rsid w:val="00B51CCF"/>
    <w:rsid w:val="00B527FA"/>
    <w:rsid w:val="00B52910"/>
    <w:rsid w:val="00B5397B"/>
    <w:rsid w:val="00B53C63"/>
    <w:rsid w:val="00B54182"/>
    <w:rsid w:val="00B54B2C"/>
    <w:rsid w:val="00B54F48"/>
    <w:rsid w:val="00B5537A"/>
    <w:rsid w:val="00B553ED"/>
    <w:rsid w:val="00B55DB4"/>
    <w:rsid w:val="00B56330"/>
    <w:rsid w:val="00B6040C"/>
    <w:rsid w:val="00B62816"/>
    <w:rsid w:val="00B62E76"/>
    <w:rsid w:val="00B63418"/>
    <w:rsid w:val="00B6368F"/>
    <w:rsid w:val="00B65811"/>
    <w:rsid w:val="00B65F04"/>
    <w:rsid w:val="00B66012"/>
    <w:rsid w:val="00B67018"/>
    <w:rsid w:val="00B671F9"/>
    <w:rsid w:val="00B67452"/>
    <w:rsid w:val="00B67EC5"/>
    <w:rsid w:val="00B70B3F"/>
    <w:rsid w:val="00B7122B"/>
    <w:rsid w:val="00B72188"/>
    <w:rsid w:val="00B72C98"/>
    <w:rsid w:val="00B74DA2"/>
    <w:rsid w:val="00B7535A"/>
    <w:rsid w:val="00B75466"/>
    <w:rsid w:val="00B7551E"/>
    <w:rsid w:val="00B75DB4"/>
    <w:rsid w:val="00B763D8"/>
    <w:rsid w:val="00B7683F"/>
    <w:rsid w:val="00B768F6"/>
    <w:rsid w:val="00B77126"/>
    <w:rsid w:val="00B77FD0"/>
    <w:rsid w:val="00B80509"/>
    <w:rsid w:val="00B8277F"/>
    <w:rsid w:val="00B82A97"/>
    <w:rsid w:val="00B8324B"/>
    <w:rsid w:val="00B833D5"/>
    <w:rsid w:val="00B841F2"/>
    <w:rsid w:val="00B848D5"/>
    <w:rsid w:val="00B84A53"/>
    <w:rsid w:val="00B861ED"/>
    <w:rsid w:val="00B86751"/>
    <w:rsid w:val="00B86BC2"/>
    <w:rsid w:val="00B878FB"/>
    <w:rsid w:val="00B90766"/>
    <w:rsid w:val="00B9098A"/>
    <w:rsid w:val="00B92697"/>
    <w:rsid w:val="00B92FB3"/>
    <w:rsid w:val="00B93076"/>
    <w:rsid w:val="00B93132"/>
    <w:rsid w:val="00B93704"/>
    <w:rsid w:val="00B94852"/>
    <w:rsid w:val="00B948B6"/>
    <w:rsid w:val="00B94F8C"/>
    <w:rsid w:val="00B95341"/>
    <w:rsid w:val="00B96CAB"/>
    <w:rsid w:val="00B97DC4"/>
    <w:rsid w:val="00B97E14"/>
    <w:rsid w:val="00BA05CC"/>
    <w:rsid w:val="00BA0A94"/>
    <w:rsid w:val="00BA0D3A"/>
    <w:rsid w:val="00BA146B"/>
    <w:rsid w:val="00BA16BB"/>
    <w:rsid w:val="00BA1950"/>
    <w:rsid w:val="00BA1CD0"/>
    <w:rsid w:val="00BA1E38"/>
    <w:rsid w:val="00BA2258"/>
    <w:rsid w:val="00BA2648"/>
    <w:rsid w:val="00BA2795"/>
    <w:rsid w:val="00BA4AE8"/>
    <w:rsid w:val="00BA4E64"/>
    <w:rsid w:val="00BA4F58"/>
    <w:rsid w:val="00BA5454"/>
    <w:rsid w:val="00BA5CD9"/>
    <w:rsid w:val="00BA5D00"/>
    <w:rsid w:val="00BA5E40"/>
    <w:rsid w:val="00BA6B36"/>
    <w:rsid w:val="00BA6BBD"/>
    <w:rsid w:val="00BA70CC"/>
    <w:rsid w:val="00BA73A2"/>
    <w:rsid w:val="00BA7641"/>
    <w:rsid w:val="00BA792A"/>
    <w:rsid w:val="00BA7E09"/>
    <w:rsid w:val="00BB0A9F"/>
    <w:rsid w:val="00BB170D"/>
    <w:rsid w:val="00BB1BD9"/>
    <w:rsid w:val="00BB2027"/>
    <w:rsid w:val="00BB276F"/>
    <w:rsid w:val="00BB2ABA"/>
    <w:rsid w:val="00BB2B36"/>
    <w:rsid w:val="00BB368A"/>
    <w:rsid w:val="00BB3D3B"/>
    <w:rsid w:val="00BB3F95"/>
    <w:rsid w:val="00BB4030"/>
    <w:rsid w:val="00BB432A"/>
    <w:rsid w:val="00BB526D"/>
    <w:rsid w:val="00BB69FC"/>
    <w:rsid w:val="00BB6F79"/>
    <w:rsid w:val="00BB7C9C"/>
    <w:rsid w:val="00BC10B6"/>
    <w:rsid w:val="00BC1B35"/>
    <w:rsid w:val="00BC30D6"/>
    <w:rsid w:val="00BC3D84"/>
    <w:rsid w:val="00BC4FAF"/>
    <w:rsid w:val="00BC5410"/>
    <w:rsid w:val="00BC56C5"/>
    <w:rsid w:val="00BC571B"/>
    <w:rsid w:val="00BC7370"/>
    <w:rsid w:val="00BC7870"/>
    <w:rsid w:val="00BD002C"/>
    <w:rsid w:val="00BD04B7"/>
    <w:rsid w:val="00BD0979"/>
    <w:rsid w:val="00BD098F"/>
    <w:rsid w:val="00BD1A0D"/>
    <w:rsid w:val="00BD25F3"/>
    <w:rsid w:val="00BD2725"/>
    <w:rsid w:val="00BD2A45"/>
    <w:rsid w:val="00BD43EC"/>
    <w:rsid w:val="00BD45CB"/>
    <w:rsid w:val="00BD4A2D"/>
    <w:rsid w:val="00BD598E"/>
    <w:rsid w:val="00BD5B9C"/>
    <w:rsid w:val="00BD61DB"/>
    <w:rsid w:val="00BD6BD9"/>
    <w:rsid w:val="00BE0670"/>
    <w:rsid w:val="00BE1732"/>
    <w:rsid w:val="00BE30E4"/>
    <w:rsid w:val="00BE3BD2"/>
    <w:rsid w:val="00BE40DC"/>
    <w:rsid w:val="00BE4EA9"/>
    <w:rsid w:val="00BE4F82"/>
    <w:rsid w:val="00BE50FA"/>
    <w:rsid w:val="00BE5499"/>
    <w:rsid w:val="00BE7042"/>
    <w:rsid w:val="00BE7D84"/>
    <w:rsid w:val="00BE7F09"/>
    <w:rsid w:val="00BE7F50"/>
    <w:rsid w:val="00BF259C"/>
    <w:rsid w:val="00BF2D9F"/>
    <w:rsid w:val="00BF37A7"/>
    <w:rsid w:val="00BF3804"/>
    <w:rsid w:val="00BF3A55"/>
    <w:rsid w:val="00BF3B9D"/>
    <w:rsid w:val="00BF3FAB"/>
    <w:rsid w:val="00BF49D6"/>
    <w:rsid w:val="00BF4CD3"/>
    <w:rsid w:val="00BF582B"/>
    <w:rsid w:val="00BF5FD7"/>
    <w:rsid w:val="00BF68E5"/>
    <w:rsid w:val="00BF6D03"/>
    <w:rsid w:val="00BF7027"/>
    <w:rsid w:val="00BF73E1"/>
    <w:rsid w:val="00BF78AB"/>
    <w:rsid w:val="00C00185"/>
    <w:rsid w:val="00C0032D"/>
    <w:rsid w:val="00C00766"/>
    <w:rsid w:val="00C00D72"/>
    <w:rsid w:val="00C010B1"/>
    <w:rsid w:val="00C02340"/>
    <w:rsid w:val="00C03B89"/>
    <w:rsid w:val="00C044A2"/>
    <w:rsid w:val="00C04E9F"/>
    <w:rsid w:val="00C05146"/>
    <w:rsid w:val="00C059E9"/>
    <w:rsid w:val="00C05E01"/>
    <w:rsid w:val="00C07817"/>
    <w:rsid w:val="00C10943"/>
    <w:rsid w:val="00C10ACA"/>
    <w:rsid w:val="00C1185F"/>
    <w:rsid w:val="00C11B42"/>
    <w:rsid w:val="00C11CD0"/>
    <w:rsid w:val="00C12578"/>
    <w:rsid w:val="00C12A90"/>
    <w:rsid w:val="00C12D45"/>
    <w:rsid w:val="00C12E77"/>
    <w:rsid w:val="00C133EB"/>
    <w:rsid w:val="00C13A23"/>
    <w:rsid w:val="00C13BB0"/>
    <w:rsid w:val="00C1441A"/>
    <w:rsid w:val="00C15082"/>
    <w:rsid w:val="00C150CB"/>
    <w:rsid w:val="00C15A7F"/>
    <w:rsid w:val="00C15DD6"/>
    <w:rsid w:val="00C15F22"/>
    <w:rsid w:val="00C20432"/>
    <w:rsid w:val="00C20687"/>
    <w:rsid w:val="00C20B03"/>
    <w:rsid w:val="00C20DE5"/>
    <w:rsid w:val="00C20EBF"/>
    <w:rsid w:val="00C215E7"/>
    <w:rsid w:val="00C2177F"/>
    <w:rsid w:val="00C21CC8"/>
    <w:rsid w:val="00C224C4"/>
    <w:rsid w:val="00C238C7"/>
    <w:rsid w:val="00C23CC1"/>
    <w:rsid w:val="00C23D2F"/>
    <w:rsid w:val="00C2460B"/>
    <w:rsid w:val="00C24D45"/>
    <w:rsid w:val="00C2575D"/>
    <w:rsid w:val="00C25906"/>
    <w:rsid w:val="00C265A7"/>
    <w:rsid w:val="00C268BB"/>
    <w:rsid w:val="00C26961"/>
    <w:rsid w:val="00C26D8B"/>
    <w:rsid w:val="00C27044"/>
    <w:rsid w:val="00C27280"/>
    <w:rsid w:val="00C273C1"/>
    <w:rsid w:val="00C309A6"/>
    <w:rsid w:val="00C336EE"/>
    <w:rsid w:val="00C3370B"/>
    <w:rsid w:val="00C33D5C"/>
    <w:rsid w:val="00C34976"/>
    <w:rsid w:val="00C35DB1"/>
    <w:rsid w:val="00C3675B"/>
    <w:rsid w:val="00C36A47"/>
    <w:rsid w:val="00C36AA2"/>
    <w:rsid w:val="00C36E98"/>
    <w:rsid w:val="00C37633"/>
    <w:rsid w:val="00C376C7"/>
    <w:rsid w:val="00C37F93"/>
    <w:rsid w:val="00C40DAE"/>
    <w:rsid w:val="00C412A8"/>
    <w:rsid w:val="00C41841"/>
    <w:rsid w:val="00C419F5"/>
    <w:rsid w:val="00C41A2D"/>
    <w:rsid w:val="00C42566"/>
    <w:rsid w:val="00C42E84"/>
    <w:rsid w:val="00C432E1"/>
    <w:rsid w:val="00C43F37"/>
    <w:rsid w:val="00C4411F"/>
    <w:rsid w:val="00C4485C"/>
    <w:rsid w:val="00C44A8F"/>
    <w:rsid w:val="00C454C2"/>
    <w:rsid w:val="00C459D0"/>
    <w:rsid w:val="00C460B6"/>
    <w:rsid w:val="00C461CB"/>
    <w:rsid w:val="00C46547"/>
    <w:rsid w:val="00C46880"/>
    <w:rsid w:val="00C470BD"/>
    <w:rsid w:val="00C47F43"/>
    <w:rsid w:val="00C507A6"/>
    <w:rsid w:val="00C5099C"/>
    <w:rsid w:val="00C51450"/>
    <w:rsid w:val="00C51A06"/>
    <w:rsid w:val="00C51BF6"/>
    <w:rsid w:val="00C52293"/>
    <w:rsid w:val="00C5289A"/>
    <w:rsid w:val="00C53EAC"/>
    <w:rsid w:val="00C5426D"/>
    <w:rsid w:val="00C54353"/>
    <w:rsid w:val="00C54EFE"/>
    <w:rsid w:val="00C5511C"/>
    <w:rsid w:val="00C55862"/>
    <w:rsid w:val="00C562A8"/>
    <w:rsid w:val="00C57089"/>
    <w:rsid w:val="00C606DB"/>
    <w:rsid w:val="00C60853"/>
    <w:rsid w:val="00C60C62"/>
    <w:rsid w:val="00C60D31"/>
    <w:rsid w:val="00C615B3"/>
    <w:rsid w:val="00C62263"/>
    <w:rsid w:val="00C6255B"/>
    <w:rsid w:val="00C62A82"/>
    <w:rsid w:val="00C62AE8"/>
    <w:rsid w:val="00C62FD2"/>
    <w:rsid w:val="00C64310"/>
    <w:rsid w:val="00C652EB"/>
    <w:rsid w:val="00C6571A"/>
    <w:rsid w:val="00C65F6E"/>
    <w:rsid w:val="00C66212"/>
    <w:rsid w:val="00C675C1"/>
    <w:rsid w:val="00C67AB4"/>
    <w:rsid w:val="00C70E19"/>
    <w:rsid w:val="00C7170D"/>
    <w:rsid w:val="00C71943"/>
    <w:rsid w:val="00C72665"/>
    <w:rsid w:val="00C72C0C"/>
    <w:rsid w:val="00C72ECF"/>
    <w:rsid w:val="00C745BB"/>
    <w:rsid w:val="00C754F1"/>
    <w:rsid w:val="00C75DE5"/>
    <w:rsid w:val="00C76630"/>
    <w:rsid w:val="00C774EA"/>
    <w:rsid w:val="00C77BA6"/>
    <w:rsid w:val="00C77CC4"/>
    <w:rsid w:val="00C805DB"/>
    <w:rsid w:val="00C81D4B"/>
    <w:rsid w:val="00C8252E"/>
    <w:rsid w:val="00C82564"/>
    <w:rsid w:val="00C82840"/>
    <w:rsid w:val="00C8355A"/>
    <w:rsid w:val="00C83F80"/>
    <w:rsid w:val="00C841B1"/>
    <w:rsid w:val="00C84BDB"/>
    <w:rsid w:val="00C84F8F"/>
    <w:rsid w:val="00C85077"/>
    <w:rsid w:val="00C859F2"/>
    <w:rsid w:val="00C860D8"/>
    <w:rsid w:val="00C86D36"/>
    <w:rsid w:val="00C87493"/>
    <w:rsid w:val="00C87A24"/>
    <w:rsid w:val="00C87B17"/>
    <w:rsid w:val="00C90E5C"/>
    <w:rsid w:val="00C90EC6"/>
    <w:rsid w:val="00C9172B"/>
    <w:rsid w:val="00C91BAB"/>
    <w:rsid w:val="00C91E2D"/>
    <w:rsid w:val="00C9229C"/>
    <w:rsid w:val="00C9333E"/>
    <w:rsid w:val="00C93C49"/>
    <w:rsid w:val="00C9433A"/>
    <w:rsid w:val="00C9529D"/>
    <w:rsid w:val="00C9640B"/>
    <w:rsid w:val="00C96AB1"/>
    <w:rsid w:val="00CA0414"/>
    <w:rsid w:val="00CA0AB3"/>
    <w:rsid w:val="00CA1120"/>
    <w:rsid w:val="00CA1BE5"/>
    <w:rsid w:val="00CA27BD"/>
    <w:rsid w:val="00CA30F4"/>
    <w:rsid w:val="00CA32D2"/>
    <w:rsid w:val="00CA3E17"/>
    <w:rsid w:val="00CA4EF2"/>
    <w:rsid w:val="00CA5ACA"/>
    <w:rsid w:val="00CA6467"/>
    <w:rsid w:val="00CA66F2"/>
    <w:rsid w:val="00CA770B"/>
    <w:rsid w:val="00CA7B28"/>
    <w:rsid w:val="00CB0971"/>
    <w:rsid w:val="00CB1073"/>
    <w:rsid w:val="00CB1825"/>
    <w:rsid w:val="00CB29F7"/>
    <w:rsid w:val="00CB2D45"/>
    <w:rsid w:val="00CB36F9"/>
    <w:rsid w:val="00CB3EDF"/>
    <w:rsid w:val="00CB49CB"/>
    <w:rsid w:val="00CB5076"/>
    <w:rsid w:val="00CB5DD9"/>
    <w:rsid w:val="00CB60E6"/>
    <w:rsid w:val="00CB67EB"/>
    <w:rsid w:val="00CB7137"/>
    <w:rsid w:val="00CB74C1"/>
    <w:rsid w:val="00CB7E86"/>
    <w:rsid w:val="00CC0514"/>
    <w:rsid w:val="00CC0603"/>
    <w:rsid w:val="00CC2680"/>
    <w:rsid w:val="00CC29B0"/>
    <w:rsid w:val="00CC2A35"/>
    <w:rsid w:val="00CC3295"/>
    <w:rsid w:val="00CC3655"/>
    <w:rsid w:val="00CC3DC9"/>
    <w:rsid w:val="00CC53F9"/>
    <w:rsid w:val="00CC5727"/>
    <w:rsid w:val="00CC5EC5"/>
    <w:rsid w:val="00CC72CD"/>
    <w:rsid w:val="00CC76E5"/>
    <w:rsid w:val="00CC7B5A"/>
    <w:rsid w:val="00CD0580"/>
    <w:rsid w:val="00CD0A7D"/>
    <w:rsid w:val="00CD12C7"/>
    <w:rsid w:val="00CD1C84"/>
    <w:rsid w:val="00CD3CFF"/>
    <w:rsid w:val="00CD3EC6"/>
    <w:rsid w:val="00CD3FD1"/>
    <w:rsid w:val="00CD41CB"/>
    <w:rsid w:val="00CD4B25"/>
    <w:rsid w:val="00CD5598"/>
    <w:rsid w:val="00CD6327"/>
    <w:rsid w:val="00CD6A61"/>
    <w:rsid w:val="00CD6B60"/>
    <w:rsid w:val="00CE1017"/>
    <w:rsid w:val="00CE2214"/>
    <w:rsid w:val="00CE2974"/>
    <w:rsid w:val="00CE2ED2"/>
    <w:rsid w:val="00CE300C"/>
    <w:rsid w:val="00CE3017"/>
    <w:rsid w:val="00CE323E"/>
    <w:rsid w:val="00CE5C90"/>
    <w:rsid w:val="00CE6607"/>
    <w:rsid w:val="00CE660E"/>
    <w:rsid w:val="00CF0713"/>
    <w:rsid w:val="00CF0CD9"/>
    <w:rsid w:val="00CF0D30"/>
    <w:rsid w:val="00CF107A"/>
    <w:rsid w:val="00CF1AC6"/>
    <w:rsid w:val="00CF1B0F"/>
    <w:rsid w:val="00CF1BA3"/>
    <w:rsid w:val="00CF1C9E"/>
    <w:rsid w:val="00CF2C29"/>
    <w:rsid w:val="00CF4AEC"/>
    <w:rsid w:val="00CF555B"/>
    <w:rsid w:val="00CF5B56"/>
    <w:rsid w:val="00CF64DE"/>
    <w:rsid w:val="00CF69BB"/>
    <w:rsid w:val="00CF73CB"/>
    <w:rsid w:val="00CF760C"/>
    <w:rsid w:val="00D0068D"/>
    <w:rsid w:val="00D008B4"/>
    <w:rsid w:val="00D01131"/>
    <w:rsid w:val="00D01C32"/>
    <w:rsid w:val="00D01F6E"/>
    <w:rsid w:val="00D02374"/>
    <w:rsid w:val="00D05EFD"/>
    <w:rsid w:val="00D060B4"/>
    <w:rsid w:val="00D06FF4"/>
    <w:rsid w:val="00D07974"/>
    <w:rsid w:val="00D07D89"/>
    <w:rsid w:val="00D07F75"/>
    <w:rsid w:val="00D10183"/>
    <w:rsid w:val="00D11540"/>
    <w:rsid w:val="00D11B38"/>
    <w:rsid w:val="00D122E2"/>
    <w:rsid w:val="00D1340B"/>
    <w:rsid w:val="00D13A26"/>
    <w:rsid w:val="00D13CFB"/>
    <w:rsid w:val="00D140E7"/>
    <w:rsid w:val="00D144A0"/>
    <w:rsid w:val="00D14D9C"/>
    <w:rsid w:val="00D1502D"/>
    <w:rsid w:val="00D1657E"/>
    <w:rsid w:val="00D16973"/>
    <w:rsid w:val="00D169AD"/>
    <w:rsid w:val="00D17180"/>
    <w:rsid w:val="00D17E34"/>
    <w:rsid w:val="00D20F82"/>
    <w:rsid w:val="00D216DB"/>
    <w:rsid w:val="00D2209F"/>
    <w:rsid w:val="00D22552"/>
    <w:rsid w:val="00D22B65"/>
    <w:rsid w:val="00D22E82"/>
    <w:rsid w:val="00D230FE"/>
    <w:rsid w:val="00D233AC"/>
    <w:rsid w:val="00D234D9"/>
    <w:rsid w:val="00D23A0A"/>
    <w:rsid w:val="00D24DC2"/>
    <w:rsid w:val="00D24F83"/>
    <w:rsid w:val="00D253FD"/>
    <w:rsid w:val="00D25E52"/>
    <w:rsid w:val="00D267BE"/>
    <w:rsid w:val="00D26959"/>
    <w:rsid w:val="00D2695F"/>
    <w:rsid w:val="00D26FB9"/>
    <w:rsid w:val="00D272F9"/>
    <w:rsid w:val="00D27C2A"/>
    <w:rsid w:val="00D3046E"/>
    <w:rsid w:val="00D30B59"/>
    <w:rsid w:val="00D30E57"/>
    <w:rsid w:val="00D32128"/>
    <w:rsid w:val="00D33B00"/>
    <w:rsid w:val="00D33C3A"/>
    <w:rsid w:val="00D3404C"/>
    <w:rsid w:val="00D354ED"/>
    <w:rsid w:val="00D35520"/>
    <w:rsid w:val="00D35F25"/>
    <w:rsid w:val="00D35FD0"/>
    <w:rsid w:val="00D35FD2"/>
    <w:rsid w:val="00D36044"/>
    <w:rsid w:val="00D37C79"/>
    <w:rsid w:val="00D37EF8"/>
    <w:rsid w:val="00D4101D"/>
    <w:rsid w:val="00D418B4"/>
    <w:rsid w:val="00D4323A"/>
    <w:rsid w:val="00D441F9"/>
    <w:rsid w:val="00D442C7"/>
    <w:rsid w:val="00D44410"/>
    <w:rsid w:val="00D447D9"/>
    <w:rsid w:val="00D459EE"/>
    <w:rsid w:val="00D4608C"/>
    <w:rsid w:val="00D462B7"/>
    <w:rsid w:val="00D464F6"/>
    <w:rsid w:val="00D46732"/>
    <w:rsid w:val="00D46899"/>
    <w:rsid w:val="00D4715E"/>
    <w:rsid w:val="00D47236"/>
    <w:rsid w:val="00D50F4F"/>
    <w:rsid w:val="00D513E4"/>
    <w:rsid w:val="00D52433"/>
    <w:rsid w:val="00D52E71"/>
    <w:rsid w:val="00D536E0"/>
    <w:rsid w:val="00D53DB9"/>
    <w:rsid w:val="00D53E9E"/>
    <w:rsid w:val="00D54ABE"/>
    <w:rsid w:val="00D54BC8"/>
    <w:rsid w:val="00D54CD4"/>
    <w:rsid w:val="00D5584C"/>
    <w:rsid w:val="00D55DAD"/>
    <w:rsid w:val="00D56193"/>
    <w:rsid w:val="00D57B68"/>
    <w:rsid w:val="00D606E6"/>
    <w:rsid w:val="00D60977"/>
    <w:rsid w:val="00D60C9E"/>
    <w:rsid w:val="00D60F36"/>
    <w:rsid w:val="00D61445"/>
    <w:rsid w:val="00D62A5C"/>
    <w:rsid w:val="00D62F55"/>
    <w:rsid w:val="00D63507"/>
    <w:rsid w:val="00D64A64"/>
    <w:rsid w:val="00D64D31"/>
    <w:rsid w:val="00D650C2"/>
    <w:rsid w:val="00D6514C"/>
    <w:rsid w:val="00D65498"/>
    <w:rsid w:val="00D65716"/>
    <w:rsid w:val="00D661E1"/>
    <w:rsid w:val="00D66637"/>
    <w:rsid w:val="00D679EA"/>
    <w:rsid w:val="00D67B97"/>
    <w:rsid w:val="00D702D4"/>
    <w:rsid w:val="00D70487"/>
    <w:rsid w:val="00D7063E"/>
    <w:rsid w:val="00D731BC"/>
    <w:rsid w:val="00D7388A"/>
    <w:rsid w:val="00D74421"/>
    <w:rsid w:val="00D74CEC"/>
    <w:rsid w:val="00D74D58"/>
    <w:rsid w:val="00D755AF"/>
    <w:rsid w:val="00D77121"/>
    <w:rsid w:val="00D772D5"/>
    <w:rsid w:val="00D77443"/>
    <w:rsid w:val="00D77928"/>
    <w:rsid w:val="00D77AFF"/>
    <w:rsid w:val="00D81BF5"/>
    <w:rsid w:val="00D81E3B"/>
    <w:rsid w:val="00D83077"/>
    <w:rsid w:val="00D83691"/>
    <w:rsid w:val="00D83A7F"/>
    <w:rsid w:val="00D83ACC"/>
    <w:rsid w:val="00D83B07"/>
    <w:rsid w:val="00D84AB8"/>
    <w:rsid w:val="00D84C3F"/>
    <w:rsid w:val="00D84D0C"/>
    <w:rsid w:val="00D85116"/>
    <w:rsid w:val="00D85133"/>
    <w:rsid w:val="00D85243"/>
    <w:rsid w:val="00D85343"/>
    <w:rsid w:val="00D8639F"/>
    <w:rsid w:val="00D86440"/>
    <w:rsid w:val="00D871E5"/>
    <w:rsid w:val="00D87570"/>
    <w:rsid w:val="00D87B80"/>
    <w:rsid w:val="00D87C61"/>
    <w:rsid w:val="00D87F70"/>
    <w:rsid w:val="00D9086F"/>
    <w:rsid w:val="00D91782"/>
    <w:rsid w:val="00D92E14"/>
    <w:rsid w:val="00D93285"/>
    <w:rsid w:val="00D93286"/>
    <w:rsid w:val="00D94B06"/>
    <w:rsid w:val="00D9506E"/>
    <w:rsid w:val="00D95968"/>
    <w:rsid w:val="00D95A5A"/>
    <w:rsid w:val="00D9601D"/>
    <w:rsid w:val="00D96323"/>
    <w:rsid w:val="00D96866"/>
    <w:rsid w:val="00D968C0"/>
    <w:rsid w:val="00D97EE6"/>
    <w:rsid w:val="00DA0B21"/>
    <w:rsid w:val="00DA0DEB"/>
    <w:rsid w:val="00DA126D"/>
    <w:rsid w:val="00DA146C"/>
    <w:rsid w:val="00DA165F"/>
    <w:rsid w:val="00DA2CC2"/>
    <w:rsid w:val="00DA3153"/>
    <w:rsid w:val="00DA5F39"/>
    <w:rsid w:val="00DA6440"/>
    <w:rsid w:val="00DA67B1"/>
    <w:rsid w:val="00DA6BC2"/>
    <w:rsid w:val="00DA705F"/>
    <w:rsid w:val="00DA7D55"/>
    <w:rsid w:val="00DB042B"/>
    <w:rsid w:val="00DB0DA5"/>
    <w:rsid w:val="00DB1097"/>
    <w:rsid w:val="00DB1679"/>
    <w:rsid w:val="00DB1ACF"/>
    <w:rsid w:val="00DB2553"/>
    <w:rsid w:val="00DB286D"/>
    <w:rsid w:val="00DB51C6"/>
    <w:rsid w:val="00DB5FD8"/>
    <w:rsid w:val="00DB7151"/>
    <w:rsid w:val="00DB776E"/>
    <w:rsid w:val="00DB7A44"/>
    <w:rsid w:val="00DC0B39"/>
    <w:rsid w:val="00DC0D00"/>
    <w:rsid w:val="00DC13F9"/>
    <w:rsid w:val="00DC142F"/>
    <w:rsid w:val="00DC1F52"/>
    <w:rsid w:val="00DC29CF"/>
    <w:rsid w:val="00DC3502"/>
    <w:rsid w:val="00DC423E"/>
    <w:rsid w:val="00DC50F1"/>
    <w:rsid w:val="00DC55E0"/>
    <w:rsid w:val="00DC5B43"/>
    <w:rsid w:val="00DC5CB7"/>
    <w:rsid w:val="00DC6DBE"/>
    <w:rsid w:val="00DC6F23"/>
    <w:rsid w:val="00DC7230"/>
    <w:rsid w:val="00DC7712"/>
    <w:rsid w:val="00DD009E"/>
    <w:rsid w:val="00DD082F"/>
    <w:rsid w:val="00DD0D59"/>
    <w:rsid w:val="00DD13D4"/>
    <w:rsid w:val="00DD2A8D"/>
    <w:rsid w:val="00DD369B"/>
    <w:rsid w:val="00DD4278"/>
    <w:rsid w:val="00DD62F6"/>
    <w:rsid w:val="00DD68A9"/>
    <w:rsid w:val="00DD6F30"/>
    <w:rsid w:val="00DD7007"/>
    <w:rsid w:val="00DD706D"/>
    <w:rsid w:val="00DD7A43"/>
    <w:rsid w:val="00DD7AE0"/>
    <w:rsid w:val="00DD7DB8"/>
    <w:rsid w:val="00DE04AD"/>
    <w:rsid w:val="00DE197E"/>
    <w:rsid w:val="00DE1B9F"/>
    <w:rsid w:val="00DE2610"/>
    <w:rsid w:val="00DE3625"/>
    <w:rsid w:val="00DE435D"/>
    <w:rsid w:val="00DE437F"/>
    <w:rsid w:val="00DE48CE"/>
    <w:rsid w:val="00DE4D06"/>
    <w:rsid w:val="00DE55C4"/>
    <w:rsid w:val="00DE5A56"/>
    <w:rsid w:val="00DE60CE"/>
    <w:rsid w:val="00DE633B"/>
    <w:rsid w:val="00DE6CE6"/>
    <w:rsid w:val="00DF097A"/>
    <w:rsid w:val="00DF0C23"/>
    <w:rsid w:val="00DF0D33"/>
    <w:rsid w:val="00DF20A5"/>
    <w:rsid w:val="00DF2A33"/>
    <w:rsid w:val="00DF2A6F"/>
    <w:rsid w:val="00DF3875"/>
    <w:rsid w:val="00DF3CCD"/>
    <w:rsid w:val="00DF3F48"/>
    <w:rsid w:val="00DF449E"/>
    <w:rsid w:val="00DF455F"/>
    <w:rsid w:val="00DF4FD9"/>
    <w:rsid w:val="00DF526B"/>
    <w:rsid w:val="00DF538F"/>
    <w:rsid w:val="00DF5731"/>
    <w:rsid w:val="00DF5FC1"/>
    <w:rsid w:val="00DF6071"/>
    <w:rsid w:val="00DF6991"/>
    <w:rsid w:val="00DF714F"/>
    <w:rsid w:val="00DF717F"/>
    <w:rsid w:val="00DF7245"/>
    <w:rsid w:val="00DF7424"/>
    <w:rsid w:val="00DF761F"/>
    <w:rsid w:val="00DF76E3"/>
    <w:rsid w:val="00DF7DE3"/>
    <w:rsid w:val="00E001D2"/>
    <w:rsid w:val="00E006C7"/>
    <w:rsid w:val="00E00959"/>
    <w:rsid w:val="00E00C9A"/>
    <w:rsid w:val="00E00CE3"/>
    <w:rsid w:val="00E01201"/>
    <w:rsid w:val="00E016FC"/>
    <w:rsid w:val="00E01ACE"/>
    <w:rsid w:val="00E02216"/>
    <w:rsid w:val="00E03CDA"/>
    <w:rsid w:val="00E03CF4"/>
    <w:rsid w:val="00E044FD"/>
    <w:rsid w:val="00E04956"/>
    <w:rsid w:val="00E04ACF"/>
    <w:rsid w:val="00E04FDF"/>
    <w:rsid w:val="00E057C2"/>
    <w:rsid w:val="00E05E80"/>
    <w:rsid w:val="00E067A3"/>
    <w:rsid w:val="00E06F2A"/>
    <w:rsid w:val="00E0708B"/>
    <w:rsid w:val="00E0752A"/>
    <w:rsid w:val="00E07818"/>
    <w:rsid w:val="00E07E66"/>
    <w:rsid w:val="00E1057B"/>
    <w:rsid w:val="00E10960"/>
    <w:rsid w:val="00E115BC"/>
    <w:rsid w:val="00E11DE2"/>
    <w:rsid w:val="00E1209E"/>
    <w:rsid w:val="00E12325"/>
    <w:rsid w:val="00E12940"/>
    <w:rsid w:val="00E12A4A"/>
    <w:rsid w:val="00E12F0F"/>
    <w:rsid w:val="00E13683"/>
    <w:rsid w:val="00E136D9"/>
    <w:rsid w:val="00E147BE"/>
    <w:rsid w:val="00E14DE2"/>
    <w:rsid w:val="00E14E64"/>
    <w:rsid w:val="00E16AFB"/>
    <w:rsid w:val="00E174A5"/>
    <w:rsid w:val="00E17810"/>
    <w:rsid w:val="00E17EE3"/>
    <w:rsid w:val="00E20191"/>
    <w:rsid w:val="00E20D6B"/>
    <w:rsid w:val="00E20ECE"/>
    <w:rsid w:val="00E2122E"/>
    <w:rsid w:val="00E217A7"/>
    <w:rsid w:val="00E220FB"/>
    <w:rsid w:val="00E22212"/>
    <w:rsid w:val="00E2296F"/>
    <w:rsid w:val="00E22CF9"/>
    <w:rsid w:val="00E236CB"/>
    <w:rsid w:val="00E243E7"/>
    <w:rsid w:val="00E258C2"/>
    <w:rsid w:val="00E25C8F"/>
    <w:rsid w:val="00E26A5F"/>
    <w:rsid w:val="00E26FB1"/>
    <w:rsid w:val="00E30CF1"/>
    <w:rsid w:val="00E31590"/>
    <w:rsid w:val="00E3184A"/>
    <w:rsid w:val="00E31C8E"/>
    <w:rsid w:val="00E32F0A"/>
    <w:rsid w:val="00E33F05"/>
    <w:rsid w:val="00E340BD"/>
    <w:rsid w:val="00E342EF"/>
    <w:rsid w:val="00E364C4"/>
    <w:rsid w:val="00E3669C"/>
    <w:rsid w:val="00E36F2F"/>
    <w:rsid w:val="00E37518"/>
    <w:rsid w:val="00E378C6"/>
    <w:rsid w:val="00E41006"/>
    <w:rsid w:val="00E41FEA"/>
    <w:rsid w:val="00E42426"/>
    <w:rsid w:val="00E42B4F"/>
    <w:rsid w:val="00E431B7"/>
    <w:rsid w:val="00E432B9"/>
    <w:rsid w:val="00E43B37"/>
    <w:rsid w:val="00E45552"/>
    <w:rsid w:val="00E455B7"/>
    <w:rsid w:val="00E45632"/>
    <w:rsid w:val="00E45F3D"/>
    <w:rsid w:val="00E4633E"/>
    <w:rsid w:val="00E46715"/>
    <w:rsid w:val="00E468A1"/>
    <w:rsid w:val="00E4696A"/>
    <w:rsid w:val="00E469CA"/>
    <w:rsid w:val="00E4719F"/>
    <w:rsid w:val="00E4744F"/>
    <w:rsid w:val="00E47CBE"/>
    <w:rsid w:val="00E50054"/>
    <w:rsid w:val="00E502F9"/>
    <w:rsid w:val="00E50589"/>
    <w:rsid w:val="00E51082"/>
    <w:rsid w:val="00E514B2"/>
    <w:rsid w:val="00E516F3"/>
    <w:rsid w:val="00E52421"/>
    <w:rsid w:val="00E52AC0"/>
    <w:rsid w:val="00E53481"/>
    <w:rsid w:val="00E545E8"/>
    <w:rsid w:val="00E54F40"/>
    <w:rsid w:val="00E55431"/>
    <w:rsid w:val="00E554DA"/>
    <w:rsid w:val="00E5754C"/>
    <w:rsid w:val="00E607C9"/>
    <w:rsid w:val="00E60A60"/>
    <w:rsid w:val="00E60BF5"/>
    <w:rsid w:val="00E60C87"/>
    <w:rsid w:val="00E60F0E"/>
    <w:rsid w:val="00E6260A"/>
    <w:rsid w:val="00E6316F"/>
    <w:rsid w:val="00E636B0"/>
    <w:rsid w:val="00E64582"/>
    <w:rsid w:val="00E645BC"/>
    <w:rsid w:val="00E64AD6"/>
    <w:rsid w:val="00E650E8"/>
    <w:rsid w:val="00E65CF0"/>
    <w:rsid w:val="00E65D8A"/>
    <w:rsid w:val="00E660DC"/>
    <w:rsid w:val="00E660F7"/>
    <w:rsid w:val="00E6799F"/>
    <w:rsid w:val="00E70C40"/>
    <w:rsid w:val="00E71454"/>
    <w:rsid w:val="00E71DA4"/>
    <w:rsid w:val="00E728B7"/>
    <w:rsid w:val="00E72E7F"/>
    <w:rsid w:val="00E73D59"/>
    <w:rsid w:val="00E7484D"/>
    <w:rsid w:val="00E74D68"/>
    <w:rsid w:val="00E751C8"/>
    <w:rsid w:val="00E752AC"/>
    <w:rsid w:val="00E7591A"/>
    <w:rsid w:val="00E763B9"/>
    <w:rsid w:val="00E76C64"/>
    <w:rsid w:val="00E76EAF"/>
    <w:rsid w:val="00E77A0D"/>
    <w:rsid w:val="00E77B28"/>
    <w:rsid w:val="00E8004F"/>
    <w:rsid w:val="00E8145C"/>
    <w:rsid w:val="00E814B4"/>
    <w:rsid w:val="00E81792"/>
    <w:rsid w:val="00E81F6F"/>
    <w:rsid w:val="00E822BF"/>
    <w:rsid w:val="00E823B1"/>
    <w:rsid w:val="00E8259D"/>
    <w:rsid w:val="00E8269E"/>
    <w:rsid w:val="00E827A3"/>
    <w:rsid w:val="00E83099"/>
    <w:rsid w:val="00E83561"/>
    <w:rsid w:val="00E839E5"/>
    <w:rsid w:val="00E83E40"/>
    <w:rsid w:val="00E8484D"/>
    <w:rsid w:val="00E84D48"/>
    <w:rsid w:val="00E851FA"/>
    <w:rsid w:val="00E8534D"/>
    <w:rsid w:val="00E85B92"/>
    <w:rsid w:val="00E85E0A"/>
    <w:rsid w:val="00E86291"/>
    <w:rsid w:val="00E86A69"/>
    <w:rsid w:val="00E86A71"/>
    <w:rsid w:val="00E86C17"/>
    <w:rsid w:val="00E87CB1"/>
    <w:rsid w:val="00E87DCD"/>
    <w:rsid w:val="00E907F7"/>
    <w:rsid w:val="00E90BE6"/>
    <w:rsid w:val="00E91813"/>
    <w:rsid w:val="00E918AA"/>
    <w:rsid w:val="00E9195C"/>
    <w:rsid w:val="00E91ADA"/>
    <w:rsid w:val="00E9217E"/>
    <w:rsid w:val="00E92D2F"/>
    <w:rsid w:val="00E92F32"/>
    <w:rsid w:val="00E940E9"/>
    <w:rsid w:val="00E9416D"/>
    <w:rsid w:val="00E94227"/>
    <w:rsid w:val="00E94445"/>
    <w:rsid w:val="00E946D3"/>
    <w:rsid w:val="00E96831"/>
    <w:rsid w:val="00E96A05"/>
    <w:rsid w:val="00E96E97"/>
    <w:rsid w:val="00E96EEC"/>
    <w:rsid w:val="00E97577"/>
    <w:rsid w:val="00E97B6C"/>
    <w:rsid w:val="00EA16E7"/>
    <w:rsid w:val="00EA181D"/>
    <w:rsid w:val="00EA1859"/>
    <w:rsid w:val="00EA262B"/>
    <w:rsid w:val="00EA26EB"/>
    <w:rsid w:val="00EA30DD"/>
    <w:rsid w:val="00EA33F3"/>
    <w:rsid w:val="00EA471B"/>
    <w:rsid w:val="00EA623D"/>
    <w:rsid w:val="00EA7279"/>
    <w:rsid w:val="00EA79A3"/>
    <w:rsid w:val="00EA7BE6"/>
    <w:rsid w:val="00EA7F89"/>
    <w:rsid w:val="00EB0112"/>
    <w:rsid w:val="00EB0B5C"/>
    <w:rsid w:val="00EB0F0D"/>
    <w:rsid w:val="00EB1B83"/>
    <w:rsid w:val="00EB4194"/>
    <w:rsid w:val="00EB4404"/>
    <w:rsid w:val="00EB4415"/>
    <w:rsid w:val="00EB4D49"/>
    <w:rsid w:val="00EB4DA6"/>
    <w:rsid w:val="00EB54FA"/>
    <w:rsid w:val="00EB56CA"/>
    <w:rsid w:val="00EB61ED"/>
    <w:rsid w:val="00EB6846"/>
    <w:rsid w:val="00EB6A56"/>
    <w:rsid w:val="00EB714F"/>
    <w:rsid w:val="00EB77A2"/>
    <w:rsid w:val="00EB7D75"/>
    <w:rsid w:val="00EC07B1"/>
    <w:rsid w:val="00EC0897"/>
    <w:rsid w:val="00EC0CB6"/>
    <w:rsid w:val="00EC0FE8"/>
    <w:rsid w:val="00EC1240"/>
    <w:rsid w:val="00EC183F"/>
    <w:rsid w:val="00EC25AA"/>
    <w:rsid w:val="00EC2910"/>
    <w:rsid w:val="00EC3200"/>
    <w:rsid w:val="00EC33B0"/>
    <w:rsid w:val="00EC371F"/>
    <w:rsid w:val="00EC3C6B"/>
    <w:rsid w:val="00EC5FF3"/>
    <w:rsid w:val="00EC656F"/>
    <w:rsid w:val="00EC6903"/>
    <w:rsid w:val="00EC6D54"/>
    <w:rsid w:val="00EC70D7"/>
    <w:rsid w:val="00EC7C20"/>
    <w:rsid w:val="00ED04FB"/>
    <w:rsid w:val="00ED0745"/>
    <w:rsid w:val="00ED0F4F"/>
    <w:rsid w:val="00ED149C"/>
    <w:rsid w:val="00ED188D"/>
    <w:rsid w:val="00ED1912"/>
    <w:rsid w:val="00ED1FE8"/>
    <w:rsid w:val="00ED2FBF"/>
    <w:rsid w:val="00ED4615"/>
    <w:rsid w:val="00ED592B"/>
    <w:rsid w:val="00ED5EEF"/>
    <w:rsid w:val="00ED60DD"/>
    <w:rsid w:val="00ED6492"/>
    <w:rsid w:val="00ED7A81"/>
    <w:rsid w:val="00EE00BE"/>
    <w:rsid w:val="00EE0746"/>
    <w:rsid w:val="00EE0C57"/>
    <w:rsid w:val="00EE1165"/>
    <w:rsid w:val="00EE1C9B"/>
    <w:rsid w:val="00EE1F4F"/>
    <w:rsid w:val="00EE3832"/>
    <w:rsid w:val="00EE3C34"/>
    <w:rsid w:val="00EE473E"/>
    <w:rsid w:val="00EE4E50"/>
    <w:rsid w:val="00EE6286"/>
    <w:rsid w:val="00EE63E2"/>
    <w:rsid w:val="00EE644E"/>
    <w:rsid w:val="00EE6FBC"/>
    <w:rsid w:val="00EE79B2"/>
    <w:rsid w:val="00EE7B57"/>
    <w:rsid w:val="00EF038D"/>
    <w:rsid w:val="00EF13BB"/>
    <w:rsid w:val="00EF2172"/>
    <w:rsid w:val="00EF3347"/>
    <w:rsid w:val="00EF3A7E"/>
    <w:rsid w:val="00EF3B7C"/>
    <w:rsid w:val="00EF531D"/>
    <w:rsid w:val="00EF5DFF"/>
    <w:rsid w:val="00EF61F3"/>
    <w:rsid w:val="00EF6B1D"/>
    <w:rsid w:val="00EF702B"/>
    <w:rsid w:val="00EF7523"/>
    <w:rsid w:val="00EF7F81"/>
    <w:rsid w:val="00F00422"/>
    <w:rsid w:val="00F00C2E"/>
    <w:rsid w:val="00F0153E"/>
    <w:rsid w:val="00F016EB"/>
    <w:rsid w:val="00F01B6C"/>
    <w:rsid w:val="00F02474"/>
    <w:rsid w:val="00F02597"/>
    <w:rsid w:val="00F0293E"/>
    <w:rsid w:val="00F0490F"/>
    <w:rsid w:val="00F04A28"/>
    <w:rsid w:val="00F056F3"/>
    <w:rsid w:val="00F0577C"/>
    <w:rsid w:val="00F05D13"/>
    <w:rsid w:val="00F06093"/>
    <w:rsid w:val="00F062B7"/>
    <w:rsid w:val="00F06CA5"/>
    <w:rsid w:val="00F077E7"/>
    <w:rsid w:val="00F109B3"/>
    <w:rsid w:val="00F10D16"/>
    <w:rsid w:val="00F11B7E"/>
    <w:rsid w:val="00F11F66"/>
    <w:rsid w:val="00F12232"/>
    <w:rsid w:val="00F122D0"/>
    <w:rsid w:val="00F12BC1"/>
    <w:rsid w:val="00F144B4"/>
    <w:rsid w:val="00F14571"/>
    <w:rsid w:val="00F14624"/>
    <w:rsid w:val="00F14F69"/>
    <w:rsid w:val="00F157D4"/>
    <w:rsid w:val="00F15A44"/>
    <w:rsid w:val="00F160D4"/>
    <w:rsid w:val="00F165AD"/>
    <w:rsid w:val="00F16C82"/>
    <w:rsid w:val="00F17298"/>
    <w:rsid w:val="00F201EA"/>
    <w:rsid w:val="00F2035F"/>
    <w:rsid w:val="00F20AD2"/>
    <w:rsid w:val="00F20B16"/>
    <w:rsid w:val="00F21AB8"/>
    <w:rsid w:val="00F225A7"/>
    <w:rsid w:val="00F23376"/>
    <w:rsid w:val="00F236A5"/>
    <w:rsid w:val="00F250D1"/>
    <w:rsid w:val="00F254CB"/>
    <w:rsid w:val="00F25648"/>
    <w:rsid w:val="00F260B9"/>
    <w:rsid w:val="00F26AC0"/>
    <w:rsid w:val="00F27A5B"/>
    <w:rsid w:val="00F30CDC"/>
    <w:rsid w:val="00F3141F"/>
    <w:rsid w:val="00F318AC"/>
    <w:rsid w:val="00F32CB9"/>
    <w:rsid w:val="00F33FA6"/>
    <w:rsid w:val="00F3464F"/>
    <w:rsid w:val="00F34E45"/>
    <w:rsid w:val="00F3576A"/>
    <w:rsid w:val="00F3793B"/>
    <w:rsid w:val="00F37E22"/>
    <w:rsid w:val="00F37F7E"/>
    <w:rsid w:val="00F402A3"/>
    <w:rsid w:val="00F4039D"/>
    <w:rsid w:val="00F406E3"/>
    <w:rsid w:val="00F41238"/>
    <w:rsid w:val="00F41567"/>
    <w:rsid w:val="00F4186C"/>
    <w:rsid w:val="00F41EEF"/>
    <w:rsid w:val="00F42502"/>
    <w:rsid w:val="00F42AC5"/>
    <w:rsid w:val="00F42FAD"/>
    <w:rsid w:val="00F434BD"/>
    <w:rsid w:val="00F434D6"/>
    <w:rsid w:val="00F441E3"/>
    <w:rsid w:val="00F4442D"/>
    <w:rsid w:val="00F45CB7"/>
    <w:rsid w:val="00F4683F"/>
    <w:rsid w:val="00F473CB"/>
    <w:rsid w:val="00F47BD3"/>
    <w:rsid w:val="00F50007"/>
    <w:rsid w:val="00F50544"/>
    <w:rsid w:val="00F50C6F"/>
    <w:rsid w:val="00F52011"/>
    <w:rsid w:val="00F52F8E"/>
    <w:rsid w:val="00F53209"/>
    <w:rsid w:val="00F535D4"/>
    <w:rsid w:val="00F5457D"/>
    <w:rsid w:val="00F54872"/>
    <w:rsid w:val="00F54E15"/>
    <w:rsid w:val="00F55039"/>
    <w:rsid w:val="00F55EC6"/>
    <w:rsid w:val="00F569C6"/>
    <w:rsid w:val="00F57071"/>
    <w:rsid w:val="00F571FC"/>
    <w:rsid w:val="00F5783E"/>
    <w:rsid w:val="00F57927"/>
    <w:rsid w:val="00F57977"/>
    <w:rsid w:val="00F60F74"/>
    <w:rsid w:val="00F61496"/>
    <w:rsid w:val="00F615FB"/>
    <w:rsid w:val="00F6215B"/>
    <w:rsid w:val="00F62377"/>
    <w:rsid w:val="00F62589"/>
    <w:rsid w:val="00F625CB"/>
    <w:rsid w:val="00F62ED6"/>
    <w:rsid w:val="00F631F2"/>
    <w:rsid w:val="00F63D84"/>
    <w:rsid w:val="00F648C7"/>
    <w:rsid w:val="00F64A46"/>
    <w:rsid w:val="00F65046"/>
    <w:rsid w:val="00F65514"/>
    <w:rsid w:val="00F6576F"/>
    <w:rsid w:val="00F6585C"/>
    <w:rsid w:val="00F65CF6"/>
    <w:rsid w:val="00F6657A"/>
    <w:rsid w:val="00F6662C"/>
    <w:rsid w:val="00F66D65"/>
    <w:rsid w:val="00F7046F"/>
    <w:rsid w:val="00F70796"/>
    <w:rsid w:val="00F73AC4"/>
    <w:rsid w:val="00F74896"/>
    <w:rsid w:val="00F74D0D"/>
    <w:rsid w:val="00F75C92"/>
    <w:rsid w:val="00F75E52"/>
    <w:rsid w:val="00F769C0"/>
    <w:rsid w:val="00F76DFC"/>
    <w:rsid w:val="00F77D2D"/>
    <w:rsid w:val="00F804D7"/>
    <w:rsid w:val="00F80629"/>
    <w:rsid w:val="00F80A5E"/>
    <w:rsid w:val="00F82A0C"/>
    <w:rsid w:val="00F82A41"/>
    <w:rsid w:val="00F82A82"/>
    <w:rsid w:val="00F82C89"/>
    <w:rsid w:val="00F82F28"/>
    <w:rsid w:val="00F83537"/>
    <w:rsid w:val="00F839EB"/>
    <w:rsid w:val="00F83BDA"/>
    <w:rsid w:val="00F83E69"/>
    <w:rsid w:val="00F843A9"/>
    <w:rsid w:val="00F84A00"/>
    <w:rsid w:val="00F85441"/>
    <w:rsid w:val="00F8596E"/>
    <w:rsid w:val="00F85A3E"/>
    <w:rsid w:val="00F85F5E"/>
    <w:rsid w:val="00F85FE3"/>
    <w:rsid w:val="00F8692E"/>
    <w:rsid w:val="00F86E4E"/>
    <w:rsid w:val="00F8701C"/>
    <w:rsid w:val="00F874C2"/>
    <w:rsid w:val="00F876D7"/>
    <w:rsid w:val="00F87A2A"/>
    <w:rsid w:val="00F91BA8"/>
    <w:rsid w:val="00F91E23"/>
    <w:rsid w:val="00F928EA"/>
    <w:rsid w:val="00F92BB1"/>
    <w:rsid w:val="00F92D47"/>
    <w:rsid w:val="00F93CEB"/>
    <w:rsid w:val="00F93D94"/>
    <w:rsid w:val="00F942A8"/>
    <w:rsid w:val="00F942CB"/>
    <w:rsid w:val="00F95CA8"/>
    <w:rsid w:val="00F95F3F"/>
    <w:rsid w:val="00F96557"/>
    <w:rsid w:val="00F96D5E"/>
    <w:rsid w:val="00F97795"/>
    <w:rsid w:val="00F97C87"/>
    <w:rsid w:val="00FA0875"/>
    <w:rsid w:val="00FA09EC"/>
    <w:rsid w:val="00FA180E"/>
    <w:rsid w:val="00FA2198"/>
    <w:rsid w:val="00FA265C"/>
    <w:rsid w:val="00FA27DC"/>
    <w:rsid w:val="00FA2C45"/>
    <w:rsid w:val="00FA2ED1"/>
    <w:rsid w:val="00FA34DC"/>
    <w:rsid w:val="00FA3997"/>
    <w:rsid w:val="00FA3BB4"/>
    <w:rsid w:val="00FA47FD"/>
    <w:rsid w:val="00FA5D37"/>
    <w:rsid w:val="00FA6DE0"/>
    <w:rsid w:val="00FA6E81"/>
    <w:rsid w:val="00FA71B7"/>
    <w:rsid w:val="00FA7E3D"/>
    <w:rsid w:val="00FB02B0"/>
    <w:rsid w:val="00FB0528"/>
    <w:rsid w:val="00FB12B8"/>
    <w:rsid w:val="00FB1DD7"/>
    <w:rsid w:val="00FB20B2"/>
    <w:rsid w:val="00FB2EE5"/>
    <w:rsid w:val="00FB3AF2"/>
    <w:rsid w:val="00FB5594"/>
    <w:rsid w:val="00FB7106"/>
    <w:rsid w:val="00FB7DE0"/>
    <w:rsid w:val="00FC06A6"/>
    <w:rsid w:val="00FC2C97"/>
    <w:rsid w:val="00FC2F9C"/>
    <w:rsid w:val="00FC331D"/>
    <w:rsid w:val="00FC3C8D"/>
    <w:rsid w:val="00FC40B6"/>
    <w:rsid w:val="00FC4C38"/>
    <w:rsid w:val="00FC604B"/>
    <w:rsid w:val="00FC6B7E"/>
    <w:rsid w:val="00FC6D2F"/>
    <w:rsid w:val="00FC7733"/>
    <w:rsid w:val="00FC77B3"/>
    <w:rsid w:val="00FD00D5"/>
    <w:rsid w:val="00FD0259"/>
    <w:rsid w:val="00FD25EA"/>
    <w:rsid w:val="00FD2AA3"/>
    <w:rsid w:val="00FD3A7B"/>
    <w:rsid w:val="00FD3E8B"/>
    <w:rsid w:val="00FD4AA0"/>
    <w:rsid w:val="00FD4E17"/>
    <w:rsid w:val="00FD5E50"/>
    <w:rsid w:val="00FD6330"/>
    <w:rsid w:val="00FD6787"/>
    <w:rsid w:val="00FD688C"/>
    <w:rsid w:val="00FD76D1"/>
    <w:rsid w:val="00FE029B"/>
    <w:rsid w:val="00FE0FB3"/>
    <w:rsid w:val="00FE147D"/>
    <w:rsid w:val="00FE1B93"/>
    <w:rsid w:val="00FE326B"/>
    <w:rsid w:val="00FE3369"/>
    <w:rsid w:val="00FE3FAB"/>
    <w:rsid w:val="00FE4515"/>
    <w:rsid w:val="00FE48D8"/>
    <w:rsid w:val="00FE4B15"/>
    <w:rsid w:val="00FE5172"/>
    <w:rsid w:val="00FE569B"/>
    <w:rsid w:val="00FE58F6"/>
    <w:rsid w:val="00FE5E89"/>
    <w:rsid w:val="00FE65AB"/>
    <w:rsid w:val="00FE65B3"/>
    <w:rsid w:val="00FE6868"/>
    <w:rsid w:val="00FE68CA"/>
    <w:rsid w:val="00FE6EB3"/>
    <w:rsid w:val="00FE727B"/>
    <w:rsid w:val="00FE787B"/>
    <w:rsid w:val="00FF042D"/>
    <w:rsid w:val="00FF0D30"/>
    <w:rsid w:val="00FF0F2E"/>
    <w:rsid w:val="00FF13D1"/>
    <w:rsid w:val="00FF18E7"/>
    <w:rsid w:val="00FF1B8F"/>
    <w:rsid w:val="00FF1CE0"/>
    <w:rsid w:val="00FF263F"/>
    <w:rsid w:val="00FF2850"/>
    <w:rsid w:val="00FF2AF7"/>
    <w:rsid w:val="00FF2C16"/>
    <w:rsid w:val="00FF3438"/>
    <w:rsid w:val="00FF42CD"/>
    <w:rsid w:val="00FF44BF"/>
    <w:rsid w:val="00FF4BD2"/>
    <w:rsid w:val="00FF4EF5"/>
    <w:rsid w:val="00FF5582"/>
    <w:rsid w:val="00FF56F9"/>
    <w:rsid w:val="00FF68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8ECCD-5CAB-4A98-9CFF-1362AD85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16"/>
        <w:sz w:val="22"/>
        <w:szCs w:val="22"/>
        <w:lang w:val="id-ID"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B10"/>
    <w:pPr>
      <w:jc w:val="left"/>
    </w:pPr>
    <w:rPr>
      <w:rFonts w:ascii="Times New Roman" w:eastAsia="Times New Roman" w:hAnsi="Times New Roman" w:cs="Times New Roman"/>
      <w:kern w:val="0"/>
      <w:sz w:val="20"/>
      <w:szCs w:val="20"/>
      <w:lang w:val="en-US"/>
    </w:rPr>
  </w:style>
  <w:style w:type="paragraph" w:styleId="Heading2">
    <w:name w:val="heading 2"/>
    <w:basedOn w:val="Normal"/>
    <w:next w:val="Normal"/>
    <w:link w:val="Heading2Char"/>
    <w:uiPriority w:val="9"/>
    <w:semiHidden/>
    <w:unhideWhenUsed/>
    <w:qFormat/>
    <w:rsid w:val="00330F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aliases w:val="References 2"/>
    <w:basedOn w:val="Normal"/>
    <w:next w:val="Normal"/>
    <w:link w:val="Heading6Char"/>
    <w:qFormat/>
    <w:rsid w:val="004312BB"/>
    <w:pPr>
      <w:keepNext/>
      <w:jc w:val="both"/>
      <w:outlineLvl w:val="5"/>
    </w:pPr>
    <w:rPr>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2B10"/>
    <w:pPr>
      <w:tabs>
        <w:tab w:val="center" w:pos="4320"/>
        <w:tab w:val="right" w:pos="8640"/>
      </w:tabs>
    </w:pPr>
  </w:style>
  <w:style w:type="character" w:customStyle="1" w:styleId="HeaderChar">
    <w:name w:val="Header Char"/>
    <w:basedOn w:val="DefaultParagraphFont"/>
    <w:link w:val="Header"/>
    <w:uiPriority w:val="99"/>
    <w:rsid w:val="003C2B10"/>
    <w:rPr>
      <w:rFonts w:ascii="Times New Roman" w:eastAsia="Times New Roman" w:hAnsi="Times New Roman" w:cs="Times New Roman"/>
      <w:kern w:val="0"/>
      <w:sz w:val="20"/>
      <w:szCs w:val="20"/>
      <w:lang w:val="en-US"/>
    </w:rPr>
  </w:style>
  <w:style w:type="paragraph" w:customStyle="1" w:styleId="IJASEITParagraph">
    <w:name w:val="IJASEIT Paragraph"/>
    <w:basedOn w:val="Normal"/>
    <w:link w:val="IJASEITParagraphChar"/>
    <w:rsid w:val="003C2B10"/>
    <w:pPr>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3C2B10"/>
    <w:rPr>
      <w:rFonts w:ascii="Times New Roman" w:eastAsia="SimSun" w:hAnsi="Times New Roman" w:cs="Times New Roman"/>
      <w:kern w:val="0"/>
      <w:sz w:val="20"/>
      <w:szCs w:val="24"/>
      <w:lang w:val="en-AU" w:eastAsia="zh-CN"/>
    </w:rPr>
  </w:style>
  <w:style w:type="paragraph" w:styleId="BalloonText">
    <w:name w:val="Balloon Text"/>
    <w:basedOn w:val="Normal"/>
    <w:link w:val="BalloonTextChar"/>
    <w:uiPriority w:val="99"/>
    <w:semiHidden/>
    <w:unhideWhenUsed/>
    <w:rsid w:val="003C2B10"/>
    <w:rPr>
      <w:rFonts w:ascii="Tahoma" w:hAnsi="Tahoma" w:cs="Tahoma"/>
      <w:sz w:val="16"/>
      <w:szCs w:val="16"/>
    </w:rPr>
  </w:style>
  <w:style w:type="character" w:customStyle="1" w:styleId="BalloonTextChar">
    <w:name w:val="Balloon Text Char"/>
    <w:basedOn w:val="DefaultParagraphFont"/>
    <w:link w:val="BalloonText"/>
    <w:uiPriority w:val="99"/>
    <w:semiHidden/>
    <w:rsid w:val="003C2B10"/>
    <w:rPr>
      <w:rFonts w:ascii="Tahoma" w:eastAsia="Times New Roman" w:hAnsi="Tahoma" w:cs="Tahoma"/>
      <w:kern w:val="0"/>
      <w:sz w:val="16"/>
      <w:szCs w:val="16"/>
      <w:lang w:val="en-US"/>
    </w:rPr>
  </w:style>
  <w:style w:type="character" w:customStyle="1" w:styleId="apple-style-span">
    <w:name w:val="apple-style-span"/>
    <w:basedOn w:val="DefaultParagraphFont"/>
    <w:rsid w:val="004312BB"/>
  </w:style>
  <w:style w:type="paragraph" w:customStyle="1" w:styleId="Normal1">
    <w:name w:val="Normal1"/>
    <w:rsid w:val="004312BB"/>
    <w:pPr>
      <w:spacing w:after="200" w:line="276" w:lineRule="auto"/>
      <w:ind w:firstLine="864"/>
      <w:jc w:val="both"/>
    </w:pPr>
    <w:rPr>
      <w:rFonts w:ascii="Calibri" w:eastAsia="Calibri" w:hAnsi="Calibri" w:cs="Calibri"/>
      <w:color w:val="000000"/>
      <w:kern w:val="0"/>
      <w:lang w:eastAsia="id-ID"/>
    </w:rPr>
  </w:style>
  <w:style w:type="character" w:customStyle="1" w:styleId="Heading6Char">
    <w:name w:val="Heading 6 Char"/>
    <w:aliases w:val="References 2 Char"/>
    <w:basedOn w:val="DefaultParagraphFont"/>
    <w:link w:val="Heading6"/>
    <w:rsid w:val="004312BB"/>
    <w:rPr>
      <w:rFonts w:ascii="Times New Roman" w:eastAsia="Times New Roman" w:hAnsi="Times New Roman" w:cs="Times New Roman"/>
      <w:b/>
      <w:bCs/>
      <w:iCs/>
      <w:kern w:val="0"/>
      <w:sz w:val="20"/>
      <w:szCs w:val="20"/>
      <w:lang w:val="en-US"/>
    </w:rPr>
  </w:style>
  <w:style w:type="character" w:customStyle="1" w:styleId="apple-converted-space">
    <w:name w:val="apple-converted-space"/>
    <w:basedOn w:val="DefaultParagraphFont"/>
    <w:rsid w:val="004312BB"/>
  </w:style>
  <w:style w:type="paragraph" w:styleId="Footer">
    <w:name w:val="footer"/>
    <w:basedOn w:val="Normal"/>
    <w:link w:val="FooterChar"/>
    <w:uiPriority w:val="99"/>
    <w:unhideWhenUsed/>
    <w:rsid w:val="004312BB"/>
    <w:pPr>
      <w:tabs>
        <w:tab w:val="center" w:pos="4513"/>
        <w:tab w:val="right" w:pos="9026"/>
      </w:tabs>
    </w:pPr>
  </w:style>
  <w:style w:type="character" w:customStyle="1" w:styleId="FooterChar">
    <w:name w:val="Footer Char"/>
    <w:basedOn w:val="DefaultParagraphFont"/>
    <w:link w:val="Footer"/>
    <w:uiPriority w:val="99"/>
    <w:rsid w:val="004312BB"/>
    <w:rPr>
      <w:rFonts w:ascii="Times New Roman" w:eastAsia="Times New Roman" w:hAnsi="Times New Roman" w:cs="Times New Roman"/>
      <w:kern w:val="0"/>
      <w:sz w:val="20"/>
      <w:szCs w:val="20"/>
      <w:lang w:val="en-US"/>
    </w:rPr>
  </w:style>
  <w:style w:type="character" w:styleId="Hyperlink">
    <w:name w:val="Hyperlink"/>
    <w:basedOn w:val="DefaultParagraphFont"/>
    <w:uiPriority w:val="99"/>
    <w:rsid w:val="004312BB"/>
    <w:rPr>
      <w:color w:val="0000FF"/>
      <w:u w:val="single"/>
    </w:rPr>
  </w:style>
  <w:style w:type="character" w:styleId="PageNumber">
    <w:name w:val="page number"/>
    <w:basedOn w:val="DefaultParagraphFont"/>
    <w:rsid w:val="004312BB"/>
  </w:style>
  <w:style w:type="table" w:styleId="TableGrid">
    <w:name w:val="Table Grid"/>
    <w:basedOn w:val="TableNormal"/>
    <w:uiPriority w:val="59"/>
    <w:unhideWhenUsed/>
    <w:rsid w:val="00657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7046F"/>
    <w:rPr>
      <w:color w:val="808080"/>
      <w:shd w:val="clear" w:color="auto" w:fill="E6E6E6"/>
    </w:rPr>
  </w:style>
  <w:style w:type="character" w:customStyle="1" w:styleId="Heading2Char">
    <w:name w:val="Heading 2 Char"/>
    <w:basedOn w:val="DefaultParagraphFont"/>
    <w:link w:val="Heading2"/>
    <w:uiPriority w:val="9"/>
    <w:semiHidden/>
    <w:rsid w:val="00330F20"/>
    <w:rPr>
      <w:rFonts w:asciiTheme="majorHAnsi" w:eastAsiaTheme="majorEastAsia" w:hAnsiTheme="majorHAnsi" w:cstheme="majorBidi"/>
      <w:color w:val="365F91" w:themeColor="accent1" w:themeShade="BF"/>
      <w:kern w:val="0"/>
      <w:sz w:val="26"/>
      <w:szCs w:val="26"/>
      <w:lang w:val="en-US"/>
    </w:rPr>
  </w:style>
  <w:style w:type="paragraph" w:styleId="ListParagraph">
    <w:name w:val="List Paragraph"/>
    <w:basedOn w:val="Normal"/>
    <w:uiPriority w:val="34"/>
    <w:qFormat/>
    <w:rsid w:val="00330F20"/>
    <w:pPr>
      <w:ind w:left="720"/>
      <w:contextualSpacing/>
    </w:pPr>
  </w:style>
  <w:style w:type="paragraph" w:customStyle="1" w:styleId="MTDisplayEquation">
    <w:name w:val="MTDisplayEquation"/>
    <w:basedOn w:val="Normal"/>
    <w:next w:val="Normal"/>
    <w:link w:val="MTDisplayEquationChar"/>
    <w:rsid w:val="009D155D"/>
    <w:pPr>
      <w:tabs>
        <w:tab w:val="center" w:pos="2440"/>
        <w:tab w:val="right" w:pos="4860"/>
      </w:tabs>
      <w:ind w:firstLine="426"/>
      <w:jc w:val="both"/>
    </w:pPr>
  </w:style>
  <w:style w:type="character" w:customStyle="1" w:styleId="MTDisplayEquationChar">
    <w:name w:val="MTDisplayEquation Char"/>
    <w:link w:val="MTDisplayEquation"/>
    <w:rsid w:val="009D155D"/>
    <w:rPr>
      <w:rFonts w:ascii="Times New Roman" w:eastAsia="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ps.go.id/linkTable"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journal.warmadewa.ac.id/index.php/sea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kuliah\semester%203\rantai%20pasok\bahan%20projek%20scm\latihan%20formulasiedi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kuliah\semester%203\rantai%20pasok\bahan%20projek%20scm\latihan%20formulasiedi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kuliah\semester%203\rantai%20pasok\bahan%20projek%20scm\latihan%20formulasiedi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kuliah\semester%203\rantai%20pasok\bahan%20projek%20scm\latihan%20formulasiedi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kuliah\semester%203\rantai%20pasok\bahan%20projek%20scm\latihan%20formulasied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Percentage of Added Value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cat>
            <c:strRef>
              <c:f>'Hayami method'!$K$32:$N$32</c:f>
              <c:strCache>
                <c:ptCount val="4"/>
                <c:pt idx="0">
                  <c:v>X1</c:v>
                </c:pt>
                <c:pt idx="1">
                  <c:v>X2</c:v>
                </c:pt>
                <c:pt idx="2">
                  <c:v>X3</c:v>
                </c:pt>
                <c:pt idx="3">
                  <c:v>X4</c:v>
                </c:pt>
              </c:strCache>
            </c:strRef>
          </c:cat>
          <c:val>
            <c:numRef>
              <c:f>'Hayami method'!$K$33:$N$33</c:f>
              <c:numCache>
                <c:formatCode>General</c:formatCode>
                <c:ptCount val="4"/>
                <c:pt idx="0">
                  <c:v>36.936170212765958</c:v>
                </c:pt>
                <c:pt idx="1">
                  <c:v>20.599999999999998</c:v>
                </c:pt>
                <c:pt idx="2">
                  <c:v>21.07502750990627</c:v>
                </c:pt>
                <c:pt idx="3">
                  <c:v>15</c:v>
                </c:pt>
              </c:numCache>
            </c:numRef>
          </c:val>
        </c:ser>
        <c:dLbls>
          <c:showLegendKey val="0"/>
          <c:showVal val="0"/>
          <c:showCatName val="0"/>
          <c:showSerName val="0"/>
          <c:showPercent val="0"/>
          <c:showBubbleSize val="0"/>
        </c:dLbls>
        <c:gapWidth val="150"/>
        <c:axId val="390264528"/>
        <c:axId val="390265704"/>
      </c:barChart>
      <c:catAx>
        <c:axId val="39026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0265704"/>
        <c:crosses val="autoZero"/>
        <c:auto val="1"/>
        <c:lblAlgn val="ctr"/>
        <c:lblOffset val="100"/>
        <c:noMultiLvlLbl val="0"/>
      </c:catAx>
      <c:valAx>
        <c:axId val="39026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0264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Harga peternak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'penyeimbangan harga peternak '!$J$3</c:f>
              <c:strCache>
                <c:ptCount val="1"/>
                <c:pt idx="0">
                  <c:v>Price akhir</c:v>
                </c:pt>
              </c:strCache>
            </c:strRef>
          </c:tx>
          <c:spPr>
            <a:ln w="28575" cap="rnd">
              <a:solidFill>
                <a:schemeClr val="accent1"/>
              </a:solidFill>
              <a:round/>
            </a:ln>
            <a:effectLst/>
          </c:spPr>
          <c:marker>
            <c:symbol val="none"/>
          </c:marker>
          <c:val>
            <c:numRef>
              <c:f>'penyeimbangan harga peternak '!$J$4:$J$23</c:f>
              <c:numCache>
                <c:formatCode>General</c:formatCode>
                <c:ptCount val="20"/>
                <c:pt idx="0">
                  <c:v>5205.6559441348627</c:v>
                </c:pt>
                <c:pt idx="1">
                  <c:v>5205.6559441348627</c:v>
                </c:pt>
                <c:pt idx="2">
                  <c:v>5054.6804162973795</c:v>
                </c:pt>
                <c:pt idx="3">
                  <c:v>4990.5690562951231</c:v>
                </c:pt>
                <c:pt idx="4">
                  <c:v>5205.6559441348627</c:v>
                </c:pt>
                <c:pt idx="5">
                  <c:v>5093.2368985364992</c:v>
                </c:pt>
                <c:pt idx="6">
                  <c:v>5205.6559441348627</c:v>
                </c:pt>
                <c:pt idx="7">
                  <c:v>5205.6559441348627</c:v>
                </c:pt>
                <c:pt idx="8">
                  <c:v>5099.5135351800773</c:v>
                </c:pt>
                <c:pt idx="9">
                  <c:v>5205.6559441348627</c:v>
                </c:pt>
                <c:pt idx="10">
                  <c:v>5205.6559441348627</c:v>
                </c:pt>
                <c:pt idx="11">
                  <c:v>5056.4737410526868</c:v>
                </c:pt>
                <c:pt idx="12">
                  <c:v>5205.6559441348627</c:v>
                </c:pt>
                <c:pt idx="13">
                  <c:v>5205.6559441348627</c:v>
                </c:pt>
                <c:pt idx="14">
                  <c:v>5205.6559441348627</c:v>
                </c:pt>
                <c:pt idx="15">
                  <c:v>5205.6559441348627</c:v>
                </c:pt>
                <c:pt idx="16">
                  <c:v>5205.6559441348627</c:v>
                </c:pt>
                <c:pt idx="17">
                  <c:v>5031.8155256672035</c:v>
                </c:pt>
                <c:pt idx="18">
                  <c:v>5205.6559441348627</c:v>
                </c:pt>
                <c:pt idx="19">
                  <c:v>5205.6559441348627</c:v>
                </c:pt>
              </c:numCache>
            </c:numRef>
          </c:val>
          <c:smooth val="0"/>
        </c:ser>
        <c:ser>
          <c:idx val="1"/>
          <c:order val="1"/>
          <c:tx>
            <c:strRef>
              <c:f>'penyeimbangan harga peternak '!$K$3</c:f>
              <c:strCache>
                <c:ptCount val="1"/>
                <c:pt idx="0">
                  <c:v>Price awal</c:v>
                </c:pt>
              </c:strCache>
            </c:strRef>
          </c:tx>
          <c:spPr>
            <a:ln w="28575" cap="rnd">
              <a:solidFill>
                <a:schemeClr val="accent2"/>
              </a:solidFill>
              <a:round/>
            </a:ln>
            <a:effectLst/>
          </c:spPr>
          <c:marker>
            <c:symbol val="none"/>
          </c:marker>
          <c:val>
            <c:numRef>
              <c:f>'penyeimbangan harga peternak '!$K$4:$K$23</c:f>
              <c:numCache>
                <c:formatCode>General</c:formatCode>
                <c:ptCount val="20"/>
                <c:pt idx="0">
                  <c:v>4536</c:v>
                </c:pt>
                <c:pt idx="1">
                  <c:v>4795</c:v>
                </c:pt>
                <c:pt idx="2">
                  <c:v>4892</c:v>
                </c:pt>
                <c:pt idx="3">
                  <c:v>4679</c:v>
                </c:pt>
                <c:pt idx="4">
                  <c:v>5156</c:v>
                </c:pt>
                <c:pt idx="5">
                  <c:v>4900</c:v>
                </c:pt>
                <c:pt idx="6">
                  <c:v>4581</c:v>
                </c:pt>
                <c:pt idx="7">
                  <c:v>5110</c:v>
                </c:pt>
                <c:pt idx="8">
                  <c:v>4868</c:v>
                </c:pt>
                <c:pt idx="9">
                  <c:v>4809</c:v>
                </c:pt>
                <c:pt idx="10">
                  <c:v>5000</c:v>
                </c:pt>
                <c:pt idx="11">
                  <c:v>4745</c:v>
                </c:pt>
                <c:pt idx="12">
                  <c:v>4841</c:v>
                </c:pt>
                <c:pt idx="13">
                  <c:v>4864</c:v>
                </c:pt>
                <c:pt idx="14">
                  <c:v>5077</c:v>
                </c:pt>
                <c:pt idx="15">
                  <c:v>5095</c:v>
                </c:pt>
                <c:pt idx="16">
                  <c:v>5040</c:v>
                </c:pt>
                <c:pt idx="17">
                  <c:v>4934</c:v>
                </c:pt>
                <c:pt idx="18">
                  <c:v>4857</c:v>
                </c:pt>
                <c:pt idx="19">
                  <c:v>5005</c:v>
                </c:pt>
              </c:numCache>
            </c:numRef>
          </c:val>
          <c:smooth val="0"/>
        </c:ser>
        <c:dLbls>
          <c:showLegendKey val="0"/>
          <c:showVal val="0"/>
          <c:showCatName val="0"/>
          <c:showSerName val="0"/>
          <c:showPercent val="0"/>
          <c:showBubbleSize val="0"/>
        </c:dLbls>
        <c:smooth val="0"/>
        <c:axId val="387300928"/>
        <c:axId val="387300536"/>
      </c:lineChart>
      <c:catAx>
        <c:axId val="387300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7300536"/>
        <c:crosses val="autoZero"/>
        <c:auto val="1"/>
        <c:lblAlgn val="ctr"/>
        <c:lblOffset val="100"/>
        <c:noMultiLvlLbl val="0"/>
      </c:catAx>
      <c:valAx>
        <c:axId val="387300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730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Harga pengumpul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'penyeimbangan harga pengumpul'!$J$3</c:f>
              <c:strCache>
                <c:ptCount val="1"/>
                <c:pt idx="0">
                  <c:v>Price akhir</c:v>
                </c:pt>
              </c:strCache>
            </c:strRef>
          </c:tx>
          <c:spPr>
            <a:ln w="28575" cap="rnd">
              <a:solidFill>
                <a:schemeClr val="accent1"/>
              </a:solidFill>
              <a:round/>
            </a:ln>
            <a:effectLst/>
          </c:spPr>
          <c:marker>
            <c:symbol val="none"/>
          </c:marker>
          <c:val>
            <c:numRef>
              <c:f>'penyeimbangan harga pengumpul'!$J$4:$J$13</c:f>
              <c:numCache>
                <c:formatCode>0.00</c:formatCode>
                <c:ptCount val="10"/>
                <c:pt idx="0">
                  <c:v>5383.7465750958709</c:v>
                </c:pt>
                <c:pt idx="1">
                  <c:v>5383.7465750958709</c:v>
                </c:pt>
                <c:pt idx="2">
                  <c:v>5383.7465750958709</c:v>
                </c:pt>
                <c:pt idx="3">
                  <c:v>5383.7465750958709</c:v>
                </c:pt>
                <c:pt idx="4">
                  <c:v>5383.7465750958709</c:v>
                </c:pt>
                <c:pt idx="5">
                  <c:v>5383.7465750958709</c:v>
                </c:pt>
                <c:pt idx="6">
                  <c:v>5383.7465750958709</c:v>
                </c:pt>
                <c:pt idx="7">
                  <c:v>5371.5375675664818</c:v>
                </c:pt>
                <c:pt idx="8">
                  <c:v>5383.7465750958709</c:v>
                </c:pt>
                <c:pt idx="9">
                  <c:v>5383.7465750958709</c:v>
                </c:pt>
              </c:numCache>
            </c:numRef>
          </c:val>
          <c:smooth val="0"/>
        </c:ser>
        <c:ser>
          <c:idx val="1"/>
          <c:order val="1"/>
          <c:tx>
            <c:strRef>
              <c:f>'penyeimbangan harga pengumpul'!$K$3</c:f>
              <c:strCache>
                <c:ptCount val="1"/>
                <c:pt idx="0">
                  <c:v>Price awal</c:v>
                </c:pt>
              </c:strCache>
            </c:strRef>
          </c:tx>
          <c:spPr>
            <a:ln w="28575" cap="rnd">
              <a:solidFill>
                <a:schemeClr val="accent2"/>
              </a:solidFill>
              <a:round/>
            </a:ln>
            <a:effectLst/>
          </c:spPr>
          <c:marker>
            <c:symbol val="none"/>
          </c:marker>
          <c:val>
            <c:numRef>
              <c:f>'penyeimbangan harga pengumpul'!$K$4:$K$13</c:f>
              <c:numCache>
                <c:formatCode>General</c:formatCode>
                <c:ptCount val="10"/>
                <c:pt idx="0">
                  <c:v>5919</c:v>
                </c:pt>
                <c:pt idx="1">
                  <c:v>5508</c:v>
                </c:pt>
                <c:pt idx="2">
                  <c:v>5033</c:v>
                </c:pt>
                <c:pt idx="3">
                  <c:v>6250</c:v>
                </c:pt>
                <c:pt idx="4">
                  <c:v>5085</c:v>
                </c:pt>
                <c:pt idx="5">
                  <c:v>6571</c:v>
                </c:pt>
                <c:pt idx="6">
                  <c:v>6227</c:v>
                </c:pt>
                <c:pt idx="7">
                  <c:v>5541</c:v>
                </c:pt>
                <c:pt idx="8">
                  <c:v>5103</c:v>
                </c:pt>
                <c:pt idx="9">
                  <c:v>5014</c:v>
                </c:pt>
              </c:numCache>
            </c:numRef>
          </c:val>
          <c:smooth val="0"/>
        </c:ser>
        <c:dLbls>
          <c:showLegendKey val="0"/>
          <c:showVal val="0"/>
          <c:showCatName val="0"/>
          <c:showSerName val="0"/>
          <c:showPercent val="0"/>
          <c:showBubbleSize val="0"/>
        </c:dLbls>
        <c:smooth val="0"/>
        <c:axId val="278910576"/>
        <c:axId val="378024656"/>
      </c:lineChart>
      <c:catAx>
        <c:axId val="278910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78024656"/>
        <c:crosses val="autoZero"/>
        <c:auto val="1"/>
        <c:lblAlgn val="ctr"/>
        <c:lblOffset val="100"/>
        <c:noMultiLvlLbl val="0"/>
      </c:catAx>
      <c:valAx>
        <c:axId val="378024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91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Harga produsen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'penyeimbangan harga produsen'!$J$3</c:f>
              <c:strCache>
                <c:ptCount val="1"/>
                <c:pt idx="0">
                  <c:v>Price akhir</c:v>
                </c:pt>
              </c:strCache>
            </c:strRef>
          </c:tx>
          <c:spPr>
            <a:ln w="28575" cap="rnd">
              <a:solidFill>
                <a:schemeClr val="accent1"/>
              </a:solidFill>
              <a:round/>
            </a:ln>
            <a:effectLst/>
          </c:spPr>
          <c:marker>
            <c:symbol val="none"/>
          </c:marker>
          <c:val>
            <c:numRef>
              <c:f>'penyeimbangan harga produsen'!$J$4:$J$8</c:f>
              <c:numCache>
                <c:formatCode>General</c:formatCode>
                <c:ptCount val="5"/>
                <c:pt idx="0">
                  <c:v>11093.332580728815</c:v>
                </c:pt>
                <c:pt idx="1">
                  <c:v>11093.332580728815</c:v>
                </c:pt>
                <c:pt idx="2">
                  <c:v>11093.332580728815</c:v>
                </c:pt>
                <c:pt idx="3">
                  <c:v>11093.332580728815</c:v>
                </c:pt>
                <c:pt idx="4">
                  <c:v>11087.416996857073</c:v>
                </c:pt>
              </c:numCache>
            </c:numRef>
          </c:val>
          <c:smooth val="0"/>
        </c:ser>
        <c:ser>
          <c:idx val="1"/>
          <c:order val="1"/>
          <c:tx>
            <c:strRef>
              <c:f>'penyeimbangan harga produsen'!$K$3</c:f>
              <c:strCache>
                <c:ptCount val="1"/>
                <c:pt idx="0">
                  <c:v>Price awal</c:v>
                </c:pt>
              </c:strCache>
            </c:strRef>
          </c:tx>
          <c:spPr>
            <a:ln w="28575" cap="rnd">
              <a:solidFill>
                <a:schemeClr val="accent2"/>
              </a:solidFill>
              <a:round/>
            </a:ln>
            <a:effectLst/>
          </c:spPr>
          <c:marker>
            <c:symbol val="none"/>
          </c:marker>
          <c:val>
            <c:numRef>
              <c:f>'penyeimbangan harga produsen'!$K$4:$K$8</c:f>
              <c:numCache>
                <c:formatCode>General</c:formatCode>
                <c:ptCount val="5"/>
                <c:pt idx="0">
                  <c:v>16668</c:v>
                </c:pt>
                <c:pt idx="1">
                  <c:v>16632</c:v>
                </c:pt>
                <c:pt idx="2">
                  <c:v>18148</c:v>
                </c:pt>
                <c:pt idx="3">
                  <c:v>14114</c:v>
                </c:pt>
                <c:pt idx="4">
                  <c:v>14989</c:v>
                </c:pt>
              </c:numCache>
            </c:numRef>
          </c:val>
          <c:smooth val="0"/>
        </c:ser>
        <c:dLbls>
          <c:showLegendKey val="0"/>
          <c:showVal val="0"/>
          <c:showCatName val="0"/>
          <c:showSerName val="0"/>
          <c:showPercent val="0"/>
          <c:showBubbleSize val="0"/>
        </c:dLbls>
        <c:smooth val="0"/>
        <c:axId val="225694648"/>
        <c:axId val="291347864"/>
      </c:lineChart>
      <c:catAx>
        <c:axId val="2256946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1347864"/>
        <c:crosses val="autoZero"/>
        <c:auto val="1"/>
        <c:lblAlgn val="ctr"/>
        <c:lblOffset val="100"/>
        <c:noMultiLvlLbl val="0"/>
      </c:catAx>
      <c:valAx>
        <c:axId val="29134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5694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'penyeimbang harga retailer'!$J$3</c:f>
              <c:strCache>
                <c:ptCount val="1"/>
                <c:pt idx="0">
                  <c:v>Price akhir</c:v>
                </c:pt>
              </c:strCache>
            </c:strRef>
          </c:tx>
          <c:spPr>
            <a:ln w="28575" cap="rnd">
              <a:solidFill>
                <a:schemeClr val="accent1"/>
              </a:solidFill>
              <a:round/>
            </a:ln>
            <a:effectLst/>
          </c:spPr>
          <c:marker>
            <c:symbol val="none"/>
          </c:marker>
          <c:val>
            <c:numRef>
              <c:f>'penyeimbang harga retailer'!$J$4:$J$13</c:f>
              <c:numCache>
                <c:formatCode>General</c:formatCode>
                <c:ptCount val="10"/>
                <c:pt idx="0">
                  <c:v>10897.494020884102</c:v>
                </c:pt>
                <c:pt idx="1">
                  <c:v>10908.987246354554</c:v>
                </c:pt>
                <c:pt idx="2">
                  <c:v>10898.336098789858</c:v>
                </c:pt>
                <c:pt idx="3">
                  <c:v>10908.987246354554</c:v>
                </c:pt>
                <c:pt idx="4">
                  <c:v>10908.987246354554</c:v>
                </c:pt>
                <c:pt idx="5">
                  <c:v>10908.987246354554</c:v>
                </c:pt>
                <c:pt idx="6">
                  <c:v>10899.747148253558</c:v>
                </c:pt>
                <c:pt idx="7">
                  <c:v>10908.987246354554</c:v>
                </c:pt>
                <c:pt idx="8">
                  <c:v>10908.987246354554</c:v>
                </c:pt>
                <c:pt idx="9">
                  <c:v>10908.987246354554</c:v>
                </c:pt>
              </c:numCache>
            </c:numRef>
          </c:val>
          <c:smooth val="0"/>
        </c:ser>
        <c:ser>
          <c:idx val="1"/>
          <c:order val="1"/>
          <c:tx>
            <c:strRef>
              <c:f>'penyeimbang harga retailer'!$K$3</c:f>
              <c:strCache>
                <c:ptCount val="1"/>
                <c:pt idx="0">
                  <c:v>Price awal</c:v>
                </c:pt>
              </c:strCache>
            </c:strRef>
          </c:tx>
          <c:spPr>
            <a:ln w="28575" cap="rnd">
              <a:solidFill>
                <a:schemeClr val="accent2"/>
              </a:solidFill>
              <a:round/>
            </a:ln>
            <a:effectLst/>
          </c:spPr>
          <c:marker>
            <c:symbol val="none"/>
          </c:marker>
          <c:val>
            <c:numRef>
              <c:f>'penyeimbang harga retailer'!$K$4:$K$13</c:f>
              <c:numCache>
                <c:formatCode>General</c:formatCode>
                <c:ptCount val="10"/>
                <c:pt idx="0">
                  <c:v>16915</c:v>
                </c:pt>
                <c:pt idx="1">
                  <c:v>19624</c:v>
                </c:pt>
                <c:pt idx="2">
                  <c:v>19000</c:v>
                </c:pt>
                <c:pt idx="3">
                  <c:v>18499</c:v>
                </c:pt>
                <c:pt idx="4">
                  <c:v>19073</c:v>
                </c:pt>
                <c:pt idx="5">
                  <c:v>21763</c:v>
                </c:pt>
                <c:pt idx="6">
                  <c:v>17686</c:v>
                </c:pt>
                <c:pt idx="7">
                  <c:v>22107</c:v>
                </c:pt>
                <c:pt idx="8">
                  <c:v>20925</c:v>
                </c:pt>
                <c:pt idx="9">
                  <c:v>21070</c:v>
                </c:pt>
              </c:numCache>
            </c:numRef>
          </c:val>
          <c:smooth val="0"/>
        </c:ser>
        <c:dLbls>
          <c:showLegendKey val="0"/>
          <c:showVal val="0"/>
          <c:showCatName val="0"/>
          <c:showSerName val="0"/>
          <c:showPercent val="0"/>
          <c:showBubbleSize val="0"/>
        </c:dLbls>
        <c:smooth val="0"/>
        <c:axId val="291348648"/>
        <c:axId val="291349040"/>
      </c:lineChart>
      <c:catAx>
        <c:axId val="2913486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1349040"/>
        <c:crosses val="autoZero"/>
        <c:auto val="1"/>
        <c:lblAlgn val="ctr"/>
        <c:lblOffset val="100"/>
        <c:noMultiLvlLbl val="0"/>
      </c:catAx>
      <c:valAx>
        <c:axId val="29134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134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E790-966E-48B7-AE14-26607D5F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Nurwantara</cp:lastModifiedBy>
  <cp:revision>29</cp:revision>
  <dcterms:created xsi:type="dcterms:W3CDTF">2018-03-19T09:26:00Z</dcterms:created>
  <dcterms:modified xsi:type="dcterms:W3CDTF">2018-03-19T14:43:00Z</dcterms:modified>
</cp:coreProperties>
</file>